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3500" w:type="dxa"/>
        <w:jc w:val="center"/>
        <w:tblCellSpacing w:w="0" w:type="dxa"/>
        <w:tblCellMar>
          <w:left w:w="0" w:type="dxa"/>
          <w:right w:w="0" w:type="dxa"/>
        </w:tblCellMar>
        <w:tblLook w:val="04A0" w:firstRow="1" w:lastRow="0" w:firstColumn="1" w:lastColumn="0" w:noHBand="0" w:noVBand="1"/>
      </w:tblPr>
      <w:tblGrid>
        <w:gridCol w:w="13500"/>
      </w:tblGrid>
      <w:tr w:rsidR="00A918D9" w:rsidRPr="00A918D9">
        <w:trPr>
          <w:trHeight w:val="750"/>
          <w:tblCellSpacing w:w="0" w:type="dxa"/>
          <w:jc w:val="center"/>
        </w:trPr>
        <w:tc>
          <w:tcPr>
            <w:tcW w:w="13500" w:type="dxa"/>
            <w:tcMar>
              <w:top w:w="0" w:type="dxa"/>
              <w:left w:w="600" w:type="dxa"/>
              <w:bottom w:w="0" w:type="dxa"/>
              <w:right w:w="600" w:type="dxa"/>
            </w:tcMar>
            <w:vAlign w:val="center"/>
            <w:hideMark/>
          </w:tcPr>
          <w:p w:rsidR="00A918D9" w:rsidRPr="00A918D9" w:rsidRDefault="00A918D9" w:rsidP="00A918D9">
            <w:pPr>
              <w:widowControl/>
              <w:spacing w:line="360" w:lineRule="auto"/>
              <w:jc w:val="center"/>
              <w:rPr>
                <w:rFonts w:ascii="宋体 ，Arial" w:eastAsia="宋体 ，Arial" w:hAnsi="宋体" w:cs="宋体"/>
                <w:b/>
                <w:bCs/>
                <w:color w:val="000000"/>
                <w:kern w:val="0"/>
                <w:sz w:val="36"/>
                <w:szCs w:val="36"/>
              </w:rPr>
            </w:pPr>
            <w:r w:rsidRPr="00A918D9">
              <w:rPr>
                <w:rFonts w:ascii="宋体 ，Arial" w:eastAsia="宋体 ，Arial" w:hAnsi="宋体" w:cs="宋体" w:hint="eastAsia"/>
                <w:b/>
                <w:bCs/>
                <w:color w:val="000000"/>
                <w:kern w:val="0"/>
                <w:sz w:val="36"/>
                <w:szCs w:val="36"/>
              </w:rPr>
              <w:t>住房城乡建设部关于简化建筑业企业资质标准部分指标的通知</w:t>
            </w:r>
          </w:p>
        </w:tc>
      </w:tr>
      <w:tr w:rsidR="00A918D9" w:rsidRPr="00A918D9">
        <w:trPr>
          <w:trHeight w:val="375"/>
          <w:tblCellSpacing w:w="0" w:type="dxa"/>
          <w:jc w:val="center"/>
        </w:trPr>
        <w:tc>
          <w:tcPr>
            <w:tcW w:w="13500" w:type="dxa"/>
            <w:vAlign w:val="center"/>
            <w:hideMark/>
          </w:tcPr>
          <w:tbl>
            <w:tblPr>
              <w:tblW w:w="4500" w:type="pct"/>
              <w:jc w:val="center"/>
              <w:tblCellSpacing w:w="0" w:type="dxa"/>
              <w:tblCellMar>
                <w:left w:w="0" w:type="dxa"/>
                <w:right w:w="0" w:type="dxa"/>
              </w:tblCellMar>
              <w:tblLook w:val="04A0" w:firstRow="1" w:lastRow="0" w:firstColumn="1" w:lastColumn="0" w:noHBand="0" w:noVBand="1"/>
            </w:tblPr>
            <w:tblGrid>
              <w:gridCol w:w="12150"/>
            </w:tblGrid>
            <w:tr w:rsidR="00A918D9" w:rsidRPr="00A918D9">
              <w:trPr>
                <w:tblCellSpacing w:w="0" w:type="dxa"/>
                <w:jc w:val="center"/>
              </w:trPr>
              <w:tc>
                <w:tcPr>
                  <w:tcW w:w="13500" w:type="dxa"/>
                  <w:vAlign w:val="center"/>
                  <w:hideMark/>
                </w:tcPr>
                <w:p w:rsidR="00A918D9" w:rsidRPr="00A918D9" w:rsidRDefault="00A918D9" w:rsidP="00A918D9">
                  <w:pPr>
                    <w:widowControl/>
                    <w:spacing w:line="360" w:lineRule="atLeast"/>
                    <w:jc w:val="center"/>
                    <w:rPr>
                      <w:rFonts w:ascii="仿宋" w:eastAsia="仿宋" w:hAnsi="仿宋"/>
                      <w:sz w:val="24"/>
                      <w:szCs w:val="24"/>
                    </w:rPr>
                  </w:pPr>
                  <w:r w:rsidRPr="00A918D9">
                    <w:rPr>
                      <w:rFonts w:ascii="仿宋" w:eastAsia="仿宋" w:hAnsi="仿宋" w:hint="eastAsia"/>
                      <w:sz w:val="24"/>
                      <w:szCs w:val="24"/>
                    </w:rPr>
                    <w:t>建市[2016]226号</w:t>
                  </w:r>
                </w:p>
              </w:tc>
            </w:tr>
          </w:tbl>
          <w:p w:rsidR="00A918D9" w:rsidRPr="00A918D9" w:rsidRDefault="00A918D9" w:rsidP="00A918D9">
            <w:pPr>
              <w:widowControl/>
              <w:spacing w:line="360" w:lineRule="atLeast"/>
              <w:jc w:val="center"/>
              <w:rPr>
                <w:rFonts w:ascii="仿宋" w:eastAsia="仿宋" w:hAnsi="仿宋"/>
                <w:sz w:val="24"/>
                <w:szCs w:val="24"/>
              </w:rPr>
            </w:pPr>
          </w:p>
        </w:tc>
      </w:tr>
    </w:tbl>
    <w:p w:rsidR="00A918D9" w:rsidRPr="00A918D9" w:rsidRDefault="00A918D9" w:rsidP="007047B6">
      <w:pPr>
        <w:widowControl/>
        <w:spacing w:line="360" w:lineRule="auto"/>
        <w:ind w:firstLineChars="200" w:firstLine="480"/>
        <w:jc w:val="left"/>
        <w:rPr>
          <w:rFonts w:ascii="仿宋" w:eastAsia="仿宋" w:hAnsi="仿宋" w:hint="eastAsia"/>
          <w:sz w:val="24"/>
          <w:szCs w:val="24"/>
        </w:rPr>
      </w:pPr>
      <w:r w:rsidRPr="00A918D9">
        <w:rPr>
          <w:rFonts w:ascii="仿宋" w:eastAsia="仿宋" w:hAnsi="仿宋" w:hint="eastAsia"/>
          <w:sz w:val="24"/>
          <w:szCs w:val="24"/>
        </w:rPr>
        <w:t>各省、自治区住房城乡建设厅，直辖市建委，新疆生产建设兵团建设局，国务院有关部门建设司（局），中央管理的有关企业：</w:t>
      </w:r>
    </w:p>
    <w:p w:rsidR="00A918D9" w:rsidRPr="00A918D9" w:rsidRDefault="00A918D9" w:rsidP="007047B6">
      <w:pPr>
        <w:widowControl/>
        <w:spacing w:line="360" w:lineRule="auto"/>
        <w:jc w:val="left"/>
        <w:rPr>
          <w:rFonts w:ascii="仿宋" w:eastAsia="仿宋" w:hAnsi="仿宋" w:hint="eastAsia"/>
          <w:sz w:val="24"/>
          <w:szCs w:val="24"/>
        </w:rPr>
      </w:pPr>
      <w:r w:rsidRPr="00A918D9">
        <w:rPr>
          <w:rFonts w:ascii="仿宋" w:eastAsia="仿宋" w:hAnsi="仿宋" w:hint="eastAsia"/>
          <w:sz w:val="24"/>
          <w:szCs w:val="24"/>
        </w:rPr>
        <w:t xml:space="preserve">　　为进一步推进简政放权、</w:t>
      </w:r>
      <w:bookmarkStart w:id="0" w:name="_GoBack"/>
      <w:bookmarkEnd w:id="0"/>
      <w:r w:rsidRPr="00A918D9">
        <w:rPr>
          <w:rFonts w:ascii="仿宋" w:eastAsia="仿宋" w:hAnsi="仿宋" w:hint="eastAsia"/>
          <w:sz w:val="24"/>
          <w:szCs w:val="24"/>
        </w:rPr>
        <w:t>放管结合、优化服务改革，经研究，决定简化《建筑业企业资质标准》（建市[2014]159号）中部分指标。现将有关事项通知如下：</w:t>
      </w:r>
    </w:p>
    <w:p w:rsidR="00A918D9" w:rsidRPr="00A918D9" w:rsidRDefault="00A918D9" w:rsidP="007047B6">
      <w:pPr>
        <w:widowControl/>
        <w:spacing w:line="360" w:lineRule="auto"/>
        <w:jc w:val="left"/>
        <w:rPr>
          <w:rFonts w:ascii="仿宋" w:eastAsia="仿宋" w:hAnsi="仿宋" w:hint="eastAsia"/>
          <w:sz w:val="24"/>
          <w:szCs w:val="24"/>
        </w:rPr>
      </w:pPr>
      <w:r w:rsidRPr="00A918D9">
        <w:rPr>
          <w:rFonts w:ascii="仿宋" w:eastAsia="仿宋" w:hAnsi="仿宋" w:hint="eastAsia"/>
          <w:sz w:val="24"/>
          <w:szCs w:val="24"/>
        </w:rPr>
        <w:t xml:space="preserve">　　一、除各类别最低等级资质外，取消关于注册建造师、中级以上职称人员、持有岗位证书的现场管理人员、技术工人的指标考核。</w:t>
      </w:r>
    </w:p>
    <w:p w:rsidR="00A918D9" w:rsidRPr="00A918D9" w:rsidRDefault="00A918D9" w:rsidP="007047B6">
      <w:pPr>
        <w:widowControl/>
        <w:spacing w:line="360" w:lineRule="auto"/>
        <w:jc w:val="left"/>
        <w:rPr>
          <w:rFonts w:ascii="仿宋" w:eastAsia="仿宋" w:hAnsi="仿宋" w:hint="eastAsia"/>
          <w:sz w:val="24"/>
          <w:szCs w:val="24"/>
        </w:rPr>
      </w:pPr>
      <w:r w:rsidRPr="00A918D9">
        <w:rPr>
          <w:rFonts w:ascii="仿宋" w:eastAsia="仿宋" w:hAnsi="仿宋" w:hint="eastAsia"/>
          <w:sz w:val="24"/>
          <w:szCs w:val="24"/>
        </w:rPr>
        <w:t xml:space="preserve">　　二、取消通信工程施工总承包三级资质标准中关于注册建造师的指标考核。</w:t>
      </w:r>
    </w:p>
    <w:p w:rsidR="00A918D9" w:rsidRPr="00A918D9" w:rsidRDefault="00A918D9" w:rsidP="007047B6">
      <w:pPr>
        <w:widowControl/>
        <w:spacing w:line="360" w:lineRule="auto"/>
        <w:jc w:val="left"/>
        <w:rPr>
          <w:rFonts w:ascii="仿宋" w:eastAsia="仿宋" w:hAnsi="仿宋" w:hint="eastAsia"/>
          <w:sz w:val="24"/>
          <w:szCs w:val="24"/>
        </w:rPr>
      </w:pPr>
      <w:r w:rsidRPr="00A918D9">
        <w:rPr>
          <w:rFonts w:ascii="仿宋" w:eastAsia="仿宋" w:hAnsi="仿宋" w:hint="eastAsia"/>
          <w:sz w:val="24"/>
          <w:szCs w:val="24"/>
        </w:rPr>
        <w:t xml:space="preserve">　　三、调整建筑工程施工总承包一级及以下资质的建筑面积考核指标，具体内容详见附件。</w:t>
      </w:r>
    </w:p>
    <w:p w:rsidR="00A918D9" w:rsidRPr="00A918D9" w:rsidRDefault="00A918D9" w:rsidP="007047B6">
      <w:pPr>
        <w:widowControl/>
        <w:spacing w:line="360" w:lineRule="auto"/>
        <w:jc w:val="left"/>
        <w:rPr>
          <w:rFonts w:ascii="仿宋" w:eastAsia="仿宋" w:hAnsi="仿宋" w:hint="eastAsia"/>
          <w:sz w:val="24"/>
          <w:szCs w:val="24"/>
        </w:rPr>
      </w:pPr>
      <w:r w:rsidRPr="00A918D9">
        <w:rPr>
          <w:rFonts w:ascii="仿宋" w:eastAsia="仿宋" w:hAnsi="仿宋" w:hint="eastAsia"/>
          <w:sz w:val="24"/>
          <w:szCs w:val="24"/>
        </w:rPr>
        <w:t xml:space="preserve">　　四、对申请建筑工程、市政公用工程施工总承包特级、一级资质的企业，未进入全国建筑市场监管与诚信信息发布平台的企业业绩，不作为有效业绩认定。省级住房城乡建设主管部门要加强本地区工程项目数据库建设，完善数据补录办法，使真实有效的企业业绩及时进入全国建筑市场监管与诚信信息发布平台。</w:t>
      </w:r>
    </w:p>
    <w:p w:rsidR="00A918D9" w:rsidRPr="00A918D9" w:rsidRDefault="00A918D9" w:rsidP="007047B6">
      <w:pPr>
        <w:widowControl/>
        <w:spacing w:line="360" w:lineRule="auto"/>
        <w:jc w:val="left"/>
        <w:rPr>
          <w:rFonts w:ascii="仿宋" w:eastAsia="仿宋" w:hAnsi="仿宋" w:hint="eastAsia"/>
          <w:sz w:val="24"/>
          <w:szCs w:val="24"/>
        </w:rPr>
      </w:pPr>
      <w:r w:rsidRPr="00A918D9">
        <w:rPr>
          <w:rFonts w:ascii="仿宋" w:eastAsia="仿宋" w:hAnsi="仿宋" w:hint="eastAsia"/>
          <w:sz w:val="24"/>
          <w:szCs w:val="24"/>
        </w:rPr>
        <w:t xml:space="preserve">　　各级住房城乡建设主管部门要进一步加强事中事后监管，加强对施工现场主要管理人员在岗履职的监督检查，重点加强对项目经理是否持注册建造师证书上岗、在岗执业履职等行为的监督检查。对有违法违规行为的企业，依法给予罚款、停业整顿、降低资质等级、吊销资质证书等行政处罚；对有违法违规行为的注册建造师，依法给予罚款、暂停执业、吊销注册执业资格证书等行政处罚；要将企业和个人不良行为记入信用档案并向社会公布，切实规范建筑市场秩序，保障工程质量安全。</w:t>
      </w:r>
    </w:p>
    <w:p w:rsidR="00A918D9" w:rsidRPr="00A918D9" w:rsidRDefault="00A918D9" w:rsidP="007047B6">
      <w:pPr>
        <w:widowControl/>
        <w:spacing w:line="360" w:lineRule="auto"/>
        <w:jc w:val="left"/>
        <w:rPr>
          <w:rFonts w:ascii="仿宋" w:eastAsia="仿宋" w:hAnsi="仿宋" w:hint="eastAsia"/>
          <w:sz w:val="24"/>
          <w:szCs w:val="24"/>
        </w:rPr>
      </w:pPr>
      <w:r w:rsidRPr="00A918D9">
        <w:rPr>
          <w:rFonts w:ascii="仿宋" w:eastAsia="仿宋" w:hAnsi="仿宋" w:hint="eastAsia"/>
          <w:sz w:val="24"/>
          <w:szCs w:val="24"/>
        </w:rPr>
        <w:t xml:space="preserve">　　本通知自2016年11月1日起实施。</w:t>
      </w:r>
    </w:p>
    <w:p w:rsidR="00A918D9" w:rsidRPr="00A918D9" w:rsidRDefault="00A918D9" w:rsidP="007047B6">
      <w:pPr>
        <w:widowControl/>
        <w:spacing w:line="360" w:lineRule="auto"/>
        <w:jc w:val="left"/>
        <w:rPr>
          <w:rFonts w:ascii="仿宋" w:eastAsia="仿宋" w:hAnsi="仿宋" w:hint="eastAsia"/>
          <w:sz w:val="24"/>
          <w:szCs w:val="24"/>
        </w:rPr>
      </w:pPr>
      <w:r w:rsidRPr="00A918D9">
        <w:rPr>
          <w:rFonts w:ascii="仿宋" w:eastAsia="仿宋" w:hAnsi="仿宋" w:hint="eastAsia"/>
          <w:sz w:val="24"/>
          <w:szCs w:val="24"/>
        </w:rPr>
        <w:t xml:space="preserve">　　附件：建筑工程施工总承包一级及以下资质建筑面积指标修订内容</w:t>
      </w:r>
    </w:p>
    <w:p w:rsidR="00A918D9" w:rsidRPr="00A918D9" w:rsidRDefault="00A918D9" w:rsidP="007047B6">
      <w:pPr>
        <w:widowControl/>
        <w:spacing w:line="360" w:lineRule="auto"/>
        <w:jc w:val="right"/>
        <w:rPr>
          <w:rFonts w:ascii="仿宋" w:eastAsia="仿宋" w:hAnsi="仿宋" w:hint="eastAsia"/>
          <w:sz w:val="24"/>
          <w:szCs w:val="24"/>
        </w:rPr>
      </w:pPr>
      <w:r w:rsidRPr="00A918D9">
        <w:rPr>
          <w:rFonts w:ascii="仿宋" w:eastAsia="仿宋" w:hAnsi="仿宋" w:hint="eastAsia"/>
          <w:sz w:val="24"/>
          <w:szCs w:val="24"/>
        </w:rPr>
        <w:br/>
        <w:t xml:space="preserve">　　　　　　　　　　　　　　</w:t>
      </w:r>
      <w:r w:rsidR="007047B6">
        <w:rPr>
          <w:rFonts w:ascii="仿宋" w:eastAsia="仿宋" w:hAnsi="仿宋" w:hint="eastAsia"/>
          <w:sz w:val="24"/>
          <w:szCs w:val="24"/>
        </w:rPr>
        <w:t xml:space="preserve">　　　　　</w:t>
      </w:r>
      <w:r w:rsidRPr="00A918D9">
        <w:rPr>
          <w:rFonts w:ascii="仿宋" w:eastAsia="仿宋" w:hAnsi="仿宋" w:hint="eastAsia"/>
          <w:sz w:val="24"/>
          <w:szCs w:val="24"/>
        </w:rPr>
        <w:t>中华人民共和国住房和城乡建设部</w:t>
      </w:r>
    </w:p>
    <w:p w:rsidR="00CE1EBE" w:rsidRPr="007047B6" w:rsidRDefault="00A918D9" w:rsidP="007047B6">
      <w:pPr>
        <w:spacing w:line="360" w:lineRule="auto"/>
        <w:jc w:val="right"/>
        <w:rPr>
          <w:rFonts w:ascii="仿宋" w:eastAsia="仿宋" w:hAnsi="仿宋" w:hint="eastAsia"/>
          <w:sz w:val="24"/>
          <w:szCs w:val="24"/>
        </w:rPr>
      </w:pPr>
      <w:r w:rsidRPr="007047B6">
        <w:rPr>
          <w:rFonts w:ascii="仿宋" w:eastAsia="仿宋" w:hAnsi="仿宋" w:hint="eastAsia"/>
          <w:sz w:val="24"/>
          <w:szCs w:val="24"/>
        </w:rPr>
        <w:t>2016年10月14日</w:t>
      </w:r>
    </w:p>
    <w:p w:rsidR="00A918D9" w:rsidRDefault="00A918D9" w:rsidP="00A918D9">
      <w:pPr>
        <w:jc w:val="right"/>
        <w:rPr>
          <w:rFonts w:ascii="宋体 ，Arial" w:eastAsia="宋体 ，Arial" w:hint="eastAsia"/>
          <w:color w:val="000000"/>
          <w:sz w:val="18"/>
          <w:szCs w:val="18"/>
        </w:rPr>
      </w:pPr>
    </w:p>
    <w:p w:rsidR="007047B6" w:rsidRDefault="007047B6" w:rsidP="00A918D9">
      <w:pPr>
        <w:jc w:val="right"/>
        <w:rPr>
          <w:rFonts w:ascii="宋体 ，Arial" w:eastAsia="宋体 ，Arial" w:hint="eastAsia"/>
          <w:color w:val="000000"/>
          <w:sz w:val="18"/>
          <w:szCs w:val="18"/>
        </w:rPr>
      </w:pPr>
    </w:p>
    <w:p w:rsidR="007047B6" w:rsidRDefault="007047B6" w:rsidP="007047B6">
      <w:pPr>
        <w:ind w:right="720"/>
        <w:rPr>
          <w:rFonts w:ascii="宋体 ，Arial" w:eastAsia="宋体 ，Arial" w:hint="eastAsia"/>
          <w:color w:val="000000"/>
          <w:sz w:val="18"/>
          <w:szCs w:val="18"/>
        </w:rPr>
      </w:pPr>
    </w:p>
    <w:p w:rsidR="00A918D9" w:rsidRDefault="00A918D9" w:rsidP="00A918D9">
      <w:pPr>
        <w:rPr>
          <w:rFonts w:ascii="黑体" w:eastAsia="黑体" w:hAnsi="黑体" w:hint="eastAsia"/>
          <w:sz w:val="30"/>
        </w:rPr>
      </w:pPr>
      <w:r>
        <w:rPr>
          <w:rFonts w:ascii="黑体" w:eastAsia="黑体" w:hAnsi="黑体" w:hint="eastAsia"/>
          <w:sz w:val="30"/>
        </w:rPr>
        <w:lastRenderedPageBreak/>
        <w:t>附件</w:t>
      </w:r>
    </w:p>
    <w:p w:rsidR="00A918D9" w:rsidRDefault="00A918D9" w:rsidP="00A918D9">
      <w:pPr>
        <w:rPr>
          <w:rFonts w:ascii="仿宋_GB2312" w:eastAsia="仿宋_GB2312" w:hAnsi="仿宋_GB2312" w:hint="eastAsia"/>
          <w:sz w:val="32"/>
        </w:rPr>
      </w:pPr>
    </w:p>
    <w:p w:rsidR="00A918D9" w:rsidRPr="007047B6" w:rsidRDefault="00A918D9" w:rsidP="00A918D9">
      <w:pPr>
        <w:jc w:val="center"/>
        <w:rPr>
          <w:rFonts w:ascii="华文中宋" w:eastAsia="华文中宋" w:hAnsi="华文中宋" w:cs="方正小标宋简体" w:hint="eastAsia"/>
          <w:sz w:val="28"/>
          <w:szCs w:val="28"/>
        </w:rPr>
      </w:pPr>
      <w:r w:rsidRPr="007047B6">
        <w:rPr>
          <w:rFonts w:ascii="华文中宋" w:eastAsia="华文中宋" w:hAnsi="华文中宋" w:cs="方正小标宋简体" w:hint="eastAsia"/>
          <w:sz w:val="28"/>
          <w:szCs w:val="28"/>
        </w:rPr>
        <w:t>建筑工程施工总承包一级及以下资质</w:t>
      </w:r>
    </w:p>
    <w:p w:rsidR="00A918D9" w:rsidRPr="007047B6" w:rsidRDefault="00A918D9" w:rsidP="00A918D9">
      <w:pPr>
        <w:jc w:val="center"/>
        <w:rPr>
          <w:rFonts w:ascii="方正小标宋简体" w:eastAsia="方正小标宋简体" w:hAnsi="方正小标宋简体" w:cs="方正小标宋简体" w:hint="eastAsia"/>
          <w:sz w:val="28"/>
          <w:szCs w:val="28"/>
        </w:rPr>
      </w:pPr>
      <w:r w:rsidRPr="007047B6">
        <w:rPr>
          <w:rFonts w:ascii="华文中宋" w:eastAsia="华文中宋" w:hAnsi="华文中宋" w:cs="方正小标宋简体" w:hint="eastAsia"/>
          <w:sz w:val="28"/>
          <w:szCs w:val="28"/>
        </w:rPr>
        <w:t>建筑面积指标修订内容</w:t>
      </w:r>
    </w:p>
    <w:p w:rsidR="00A918D9" w:rsidRPr="007047B6" w:rsidRDefault="00A918D9" w:rsidP="00A918D9">
      <w:pPr>
        <w:jc w:val="center"/>
        <w:rPr>
          <w:rFonts w:ascii="方正小标宋简体" w:eastAsia="方正小标宋简体" w:hAnsi="方正小标宋简体" w:cs="方正小标宋简体" w:hint="eastAsia"/>
          <w:sz w:val="28"/>
          <w:szCs w:val="28"/>
        </w:rPr>
      </w:pPr>
    </w:p>
    <w:p w:rsidR="00A918D9" w:rsidRPr="007047B6" w:rsidRDefault="00A918D9" w:rsidP="007047B6">
      <w:pPr>
        <w:ind w:firstLineChars="200" w:firstLine="560"/>
        <w:rPr>
          <w:rFonts w:ascii="仿宋" w:eastAsia="仿宋" w:hAnsi="仿宋" w:hint="eastAsia"/>
          <w:sz w:val="28"/>
          <w:szCs w:val="28"/>
        </w:rPr>
      </w:pPr>
      <w:r w:rsidRPr="007047B6">
        <w:rPr>
          <w:rFonts w:ascii="仿宋" w:eastAsia="仿宋" w:hAnsi="仿宋" w:hint="eastAsia"/>
          <w:sz w:val="28"/>
          <w:szCs w:val="28"/>
        </w:rPr>
        <w:t>一、将“1.1.3企业工程业绩（3）建筑面积3万平方米以上的单体工业、民用建筑工程1项或建筑面积2万-3万平方米（不含）的单体工业、民用建筑工程2项”修改为“1.1.3企业工程业绩（3）建筑面积12万平方米以上的建筑工程1项或建筑面积10万平方米以上的建筑工程2项”。</w:t>
      </w:r>
    </w:p>
    <w:p w:rsidR="00A918D9" w:rsidRPr="007047B6" w:rsidRDefault="00A918D9" w:rsidP="007047B6">
      <w:pPr>
        <w:ind w:firstLineChars="200" w:firstLine="560"/>
        <w:rPr>
          <w:rFonts w:ascii="仿宋" w:eastAsia="仿宋" w:hAnsi="仿宋" w:hint="eastAsia"/>
          <w:sz w:val="28"/>
          <w:szCs w:val="28"/>
        </w:rPr>
      </w:pPr>
      <w:r w:rsidRPr="007047B6">
        <w:rPr>
          <w:rFonts w:ascii="仿宋" w:eastAsia="仿宋" w:hAnsi="仿宋" w:hint="eastAsia"/>
          <w:sz w:val="28"/>
          <w:szCs w:val="28"/>
        </w:rPr>
        <w:t>二、将“1.2.3企业工程业绩（3）建筑面积1万平方米以上的单体工业、民用建筑工程1项或建筑面积0.6万-1万平方米（不含）的单体工业、民用建筑工程2项”修改为“1.2.3企业工程业绩（3）建筑面积6万平方米以上的建筑工程1项或建筑面积5万平方米以上的建筑工程2项”。</w:t>
      </w:r>
    </w:p>
    <w:p w:rsidR="00A918D9" w:rsidRPr="007047B6" w:rsidRDefault="00A918D9" w:rsidP="007047B6">
      <w:pPr>
        <w:ind w:firstLineChars="200" w:firstLine="560"/>
        <w:rPr>
          <w:rFonts w:ascii="仿宋" w:eastAsia="仿宋" w:hAnsi="仿宋" w:hint="eastAsia"/>
          <w:sz w:val="28"/>
          <w:szCs w:val="28"/>
        </w:rPr>
      </w:pPr>
      <w:r w:rsidRPr="007047B6">
        <w:rPr>
          <w:rFonts w:ascii="仿宋" w:eastAsia="仿宋" w:hAnsi="仿宋" w:hint="eastAsia"/>
          <w:sz w:val="28"/>
          <w:szCs w:val="28"/>
        </w:rPr>
        <w:t>三、将“1.4.2</w:t>
      </w:r>
      <w:proofErr w:type="gramStart"/>
      <w:r w:rsidRPr="007047B6">
        <w:rPr>
          <w:rFonts w:ascii="仿宋" w:eastAsia="仿宋" w:hAnsi="仿宋" w:hint="eastAsia"/>
          <w:sz w:val="28"/>
          <w:szCs w:val="28"/>
        </w:rPr>
        <w:t>二</w:t>
      </w:r>
      <w:proofErr w:type="gramEnd"/>
      <w:r w:rsidRPr="007047B6">
        <w:rPr>
          <w:rFonts w:ascii="仿宋" w:eastAsia="仿宋" w:hAnsi="仿宋" w:hint="eastAsia"/>
          <w:sz w:val="28"/>
          <w:szCs w:val="28"/>
        </w:rPr>
        <w:t>级资质（3）建筑面积4万平方米以下的单体工业、民用建筑工程”修改为“1.4.2</w:t>
      </w:r>
      <w:proofErr w:type="gramStart"/>
      <w:r w:rsidRPr="007047B6">
        <w:rPr>
          <w:rFonts w:ascii="仿宋" w:eastAsia="仿宋" w:hAnsi="仿宋" w:hint="eastAsia"/>
          <w:sz w:val="28"/>
          <w:szCs w:val="28"/>
        </w:rPr>
        <w:t>二</w:t>
      </w:r>
      <w:proofErr w:type="gramEnd"/>
      <w:r w:rsidRPr="007047B6">
        <w:rPr>
          <w:rFonts w:ascii="仿宋" w:eastAsia="仿宋" w:hAnsi="仿宋" w:hint="eastAsia"/>
          <w:sz w:val="28"/>
          <w:szCs w:val="28"/>
        </w:rPr>
        <w:t>级资质（3）建筑面积15万平方米以下的建筑工程”。</w:t>
      </w:r>
    </w:p>
    <w:p w:rsidR="00A918D9" w:rsidRPr="007047B6" w:rsidRDefault="00A918D9" w:rsidP="007047B6">
      <w:pPr>
        <w:ind w:firstLineChars="200" w:firstLine="560"/>
        <w:rPr>
          <w:rFonts w:ascii="仿宋_GB2312" w:eastAsia="仿宋_GB2312" w:hAnsi="仿宋_GB2312" w:hint="eastAsia"/>
          <w:sz w:val="28"/>
          <w:szCs w:val="28"/>
        </w:rPr>
      </w:pPr>
      <w:r w:rsidRPr="007047B6">
        <w:rPr>
          <w:rFonts w:ascii="仿宋" w:eastAsia="仿宋" w:hAnsi="仿宋" w:hint="eastAsia"/>
          <w:sz w:val="28"/>
          <w:szCs w:val="28"/>
        </w:rPr>
        <w:t>四、将“1.4.3</w:t>
      </w:r>
      <w:proofErr w:type="gramStart"/>
      <w:r w:rsidRPr="007047B6">
        <w:rPr>
          <w:rFonts w:ascii="仿宋" w:eastAsia="仿宋" w:hAnsi="仿宋" w:hint="eastAsia"/>
          <w:sz w:val="28"/>
          <w:szCs w:val="28"/>
        </w:rPr>
        <w:t>三</w:t>
      </w:r>
      <w:proofErr w:type="gramEnd"/>
      <w:r w:rsidRPr="007047B6">
        <w:rPr>
          <w:rFonts w:ascii="仿宋" w:eastAsia="仿宋" w:hAnsi="仿宋" w:hint="eastAsia"/>
          <w:sz w:val="28"/>
          <w:szCs w:val="28"/>
        </w:rPr>
        <w:t>级资质（3）建筑面积1.2万平方米以下的单体工业、民用建筑工程”修改为“1.4.3</w:t>
      </w:r>
      <w:proofErr w:type="gramStart"/>
      <w:r w:rsidRPr="007047B6">
        <w:rPr>
          <w:rFonts w:ascii="仿宋" w:eastAsia="仿宋" w:hAnsi="仿宋" w:hint="eastAsia"/>
          <w:sz w:val="28"/>
          <w:szCs w:val="28"/>
        </w:rPr>
        <w:t>三</w:t>
      </w:r>
      <w:proofErr w:type="gramEnd"/>
      <w:r w:rsidRPr="007047B6">
        <w:rPr>
          <w:rFonts w:ascii="仿宋" w:eastAsia="仿宋" w:hAnsi="仿宋" w:hint="eastAsia"/>
          <w:sz w:val="28"/>
          <w:szCs w:val="28"/>
        </w:rPr>
        <w:t>级资质（3）建筑面积8万平方米以下的建筑工程”。</w:t>
      </w:r>
    </w:p>
    <w:p w:rsidR="00A918D9" w:rsidRPr="00A918D9" w:rsidRDefault="00A918D9" w:rsidP="00A918D9">
      <w:pPr>
        <w:jc w:val="left"/>
        <w:rPr>
          <w:rFonts w:hint="eastAsia"/>
        </w:rPr>
      </w:pPr>
    </w:p>
    <w:sectPr w:rsidR="00A918D9" w:rsidRPr="00A918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4B9B" w:rsidRDefault="00034B9B" w:rsidP="00A918D9">
      <w:r>
        <w:separator/>
      </w:r>
    </w:p>
  </w:endnote>
  <w:endnote w:type="continuationSeparator" w:id="0">
    <w:p w:rsidR="00034B9B" w:rsidRDefault="00034B9B" w:rsidP="00A918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宋体 ，Arial">
    <w:altName w:val="宋体"/>
    <w:panose1 w:val="00000000000000000000"/>
    <w:charset w:val="86"/>
    <w:family w:val="roman"/>
    <w:notTrueType/>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方正小标宋简体">
    <w:altName w:val="宋体"/>
    <w:charset w:val="86"/>
    <w:family w:val="auto"/>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4B9B" w:rsidRDefault="00034B9B" w:rsidP="00A918D9">
      <w:r>
        <w:separator/>
      </w:r>
    </w:p>
  </w:footnote>
  <w:footnote w:type="continuationSeparator" w:id="0">
    <w:p w:rsidR="00034B9B" w:rsidRDefault="00034B9B" w:rsidP="00A918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256D"/>
    <w:rsid w:val="00034B9B"/>
    <w:rsid w:val="000C256D"/>
    <w:rsid w:val="007047B6"/>
    <w:rsid w:val="00A918D9"/>
    <w:rsid w:val="00C37FDF"/>
    <w:rsid w:val="00CE1E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rsid w:val="00A918D9"/>
    <w:pPr>
      <w:ind w:leftChars="2500" w:left="100"/>
    </w:pPr>
  </w:style>
  <w:style w:type="character" w:customStyle="1" w:styleId="Char">
    <w:name w:val="日期 Char"/>
    <w:basedOn w:val="a0"/>
    <w:link w:val="a3"/>
    <w:uiPriority w:val="99"/>
    <w:semiHidden/>
    <w:rsid w:val="00A918D9"/>
  </w:style>
  <w:style w:type="paragraph" w:styleId="a4">
    <w:name w:val="header"/>
    <w:basedOn w:val="a"/>
    <w:link w:val="Char0"/>
    <w:uiPriority w:val="99"/>
    <w:unhideWhenUsed/>
    <w:rsid w:val="00A918D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A918D9"/>
    <w:rPr>
      <w:sz w:val="18"/>
      <w:szCs w:val="18"/>
    </w:rPr>
  </w:style>
  <w:style w:type="paragraph" w:styleId="a5">
    <w:name w:val="footer"/>
    <w:basedOn w:val="a"/>
    <w:link w:val="Char1"/>
    <w:uiPriority w:val="99"/>
    <w:unhideWhenUsed/>
    <w:rsid w:val="00A918D9"/>
    <w:pPr>
      <w:tabs>
        <w:tab w:val="center" w:pos="4153"/>
        <w:tab w:val="right" w:pos="8306"/>
      </w:tabs>
      <w:snapToGrid w:val="0"/>
      <w:jc w:val="left"/>
    </w:pPr>
    <w:rPr>
      <w:sz w:val="18"/>
      <w:szCs w:val="18"/>
    </w:rPr>
  </w:style>
  <w:style w:type="character" w:customStyle="1" w:styleId="Char1">
    <w:name w:val="页脚 Char"/>
    <w:basedOn w:val="a0"/>
    <w:link w:val="a5"/>
    <w:uiPriority w:val="99"/>
    <w:rsid w:val="00A918D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rsid w:val="00A918D9"/>
    <w:pPr>
      <w:ind w:leftChars="2500" w:left="100"/>
    </w:pPr>
  </w:style>
  <w:style w:type="character" w:customStyle="1" w:styleId="Char">
    <w:name w:val="日期 Char"/>
    <w:basedOn w:val="a0"/>
    <w:link w:val="a3"/>
    <w:uiPriority w:val="99"/>
    <w:semiHidden/>
    <w:rsid w:val="00A918D9"/>
  </w:style>
  <w:style w:type="paragraph" w:styleId="a4">
    <w:name w:val="header"/>
    <w:basedOn w:val="a"/>
    <w:link w:val="Char0"/>
    <w:uiPriority w:val="99"/>
    <w:unhideWhenUsed/>
    <w:rsid w:val="00A918D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A918D9"/>
    <w:rPr>
      <w:sz w:val="18"/>
      <w:szCs w:val="18"/>
    </w:rPr>
  </w:style>
  <w:style w:type="paragraph" w:styleId="a5">
    <w:name w:val="footer"/>
    <w:basedOn w:val="a"/>
    <w:link w:val="Char1"/>
    <w:uiPriority w:val="99"/>
    <w:unhideWhenUsed/>
    <w:rsid w:val="00A918D9"/>
    <w:pPr>
      <w:tabs>
        <w:tab w:val="center" w:pos="4153"/>
        <w:tab w:val="right" w:pos="8306"/>
      </w:tabs>
      <w:snapToGrid w:val="0"/>
      <w:jc w:val="left"/>
    </w:pPr>
    <w:rPr>
      <w:sz w:val="18"/>
      <w:szCs w:val="18"/>
    </w:rPr>
  </w:style>
  <w:style w:type="character" w:customStyle="1" w:styleId="Char1">
    <w:name w:val="页脚 Char"/>
    <w:basedOn w:val="a0"/>
    <w:link w:val="a5"/>
    <w:uiPriority w:val="99"/>
    <w:rsid w:val="00A918D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2349451">
      <w:bodyDiv w:val="1"/>
      <w:marLeft w:val="0"/>
      <w:marRight w:val="0"/>
      <w:marTop w:val="0"/>
      <w:marBottom w:val="0"/>
      <w:divBdr>
        <w:top w:val="none" w:sz="0" w:space="0" w:color="auto"/>
        <w:left w:val="none" w:sz="0" w:space="0" w:color="auto"/>
        <w:bottom w:val="none" w:sz="0" w:space="0" w:color="auto"/>
        <w:right w:val="none" w:sz="0" w:space="0" w:color="auto"/>
      </w:divBdr>
      <w:divsChild>
        <w:div w:id="1872839563">
          <w:marLeft w:val="0"/>
          <w:marRight w:val="0"/>
          <w:marTop w:val="0"/>
          <w:marBottom w:val="0"/>
          <w:divBdr>
            <w:top w:val="none" w:sz="0" w:space="0" w:color="auto"/>
            <w:left w:val="none" w:sz="0" w:space="0" w:color="auto"/>
            <w:bottom w:val="none" w:sz="0" w:space="0" w:color="auto"/>
            <w:right w:val="none" w:sz="0" w:space="0" w:color="auto"/>
          </w:divBdr>
          <w:divsChild>
            <w:div w:id="97610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184</Words>
  <Characters>1051</Characters>
  <Application>Microsoft Office Word</Application>
  <DocSecurity>0</DocSecurity>
  <Lines>8</Lines>
  <Paragraphs>2</Paragraphs>
  <ScaleCrop>false</ScaleCrop>
  <Company>Lenovo</Company>
  <LinksUpToDate>false</LinksUpToDate>
  <CharactersWithSpaces>1233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zxm</dc:creator>
  <cp:keywords/>
  <dc:description/>
  <cp:lastModifiedBy>zxm</cp:lastModifiedBy>
  <cp:revision>4</cp:revision>
  <dcterms:created xsi:type="dcterms:W3CDTF">2016-10-24T06:20:00Z</dcterms:created>
  <dcterms:modified xsi:type="dcterms:W3CDTF">2016-10-24T06:24:00Z</dcterms:modified>
</cp:coreProperties>
</file>