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3.1填表说明</w:t>
      </w:r>
    </w:p>
    <w:p>
      <w:pPr>
        <w:widowControl/>
        <w:shd w:val="clear" w:color="auto" w:fill="FFFFFF"/>
        <w:spacing w:line="320" w:lineRule="exact"/>
        <w:ind w:left="420" w:leftChars="200" w:firstLine="361" w:firstLineChars="200"/>
        <w:jc w:val="left"/>
        <w:rPr>
          <w:rFonts w:ascii="Times New Roman" w:hAnsi="Times New Roman" w:cs="Times New Roman"/>
          <w:b/>
          <w:color w:val="000000"/>
          <w:sz w:val="18"/>
          <w:shd w:val="clear" w:color="auto" w:fill="FFFFFF"/>
        </w:rPr>
      </w:pPr>
      <w:r>
        <w:rPr>
          <w:rFonts w:hint="eastAsia" w:ascii="Times New Roman" w:hAnsi="Times New Roman" w:cs="Times New Roman"/>
          <w:b/>
          <w:color w:val="000000"/>
          <w:sz w:val="18"/>
          <w:shd w:val="clear" w:color="auto" w:fill="FFFFFF"/>
        </w:rPr>
        <w:t>1.施工现场监理机构人员配置规定?</w:t>
      </w:r>
    </w:p>
    <w:p>
      <w:pPr>
        <w:pStyle w:val="8"/>
        <w:widowControl/>
        <w:shd w:val="clear" w:color="auto" w:fill="FFFFFF"/>
        <w:spacing w:line="320" w:lineRule="exact"/>
        <w:ind w:left="200"/>
        <w:jc w:val="left"/>
        <w:outlineLvl w:val="2"/>
        <w:rPr>
          <w:rFonts w:hint="eastAsia" w:ascii="Times New Roman" w:hAnsi="Times New Roman" w:cs="Times New Roman"/>
        </w:rPr>
      </w:pPr>
      <w:r>
        <w:rPr>
          <w:rFonts w:hint="eastAsia" w:ascii="Times New Roman" w:hAnsi="Times New Roman" w:cs="Times New Roman"/>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pPr>
        <w:pStyle w:val="8"/>
        <w:widowControl/>
        <w:shd w:val="clear" w:color="auto" w:fill="FFFFFF"/>
        <w:spacing w:line="320" w:lineRule="exact"/>
        <w:ind w:left="200"/>
        <w:jc w:val="left"/>
        <w:outlineLvl w:val="2"/>
        <w:rPr>
          <w:rFonts w:hint="eastAsia" w:ascii="Times New Roman" w:hAnsi="Times New Roman" w:cs="Times New Roman"/>
        </w:rPr>
      </w:pPr>
      <w:r>
        <w:rPr>
          <w:rFonts w:hint="eastAsia" w:ascii="Times New Roman" w:hAnsi="Times New Roman" w:cs="Times New Roman"/>
        </w:rPr>
        <w:t>《江苏省房屋建筑和市政基础设施工程质量监督管理办法》第十九条 施工单位应当履行下列工程质量义务：（一）按照规定配备相应的工程项目管理人员、检测仪器并规范标准，项目经理不得擅自变更和离岗，现场质量检查员应当由施工单位直接派驻，并对施工单位负责；</w:t>
      </w:r>
    </w:p>
    <w:p>
      <w:pPr>
        <w:tabs>
          <w:tab w:val="left" w:pos="7140"/>
        </w:tabs>
        <w:snapToGrid w:val="0"/>
        <w:spacing w:after="156" w:afterLines="50" w:line="320" w:lineRule="exact"/>
        <w:jc w:val="left"/>
        <w:rPr>
          <w:rFonts w:ascii="宋体" w:hAnsi="宋体" w:eastAsia="宋体"/>
          <w:b/>
          <w:sz w:val="32"/>
          <w:szCs w:val="44"/>
        </w:rPr>
      </w:pPr>
      <w:r>
        <w:rPr>
          <w:rFonts w:hint="eastAsia" w:ascii="Times New Roman" w:hAnsi="Times New Roman" w:cs="Times New Roman"/>
        </w:rPr>
        <w:t>《江苏省建设工程施工项目经理部和项目监理机构主要管理人员配备办法》附件1</w:t>
      </w:r>
      <w:r>
        <w:rPr>
          <w:rFonts w:ascii="宋体" w:hAnsi="宋体" w:eastAsia="宋体"/>
          <w:b/>
          <w:sz w:val="32"/>
          <w:szCs w:val="44"/>
        </w:rPr>
        <w:t xml:space="preserve"> </w:t>
      </w:r>
    </w:p>
    <w:tbl>
      <w:tblPr>
        <w:tblStyle w:val="5"/>
        <w:tblW w:w="98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
        <w:gridCol w:w="312"/>
        <w:gridCol w:w="1774"/>
        <w:gridCol w:w="526"/>
        <w:gridCol w:w="578"/>
        <w:gridCol w:w="579"/>
        <w:gridCol w:w="168"/>
        <w:gridCol w:w="168"/>
        <w:gridCol w:w="168"/>
        <w:gridCol w:w="557"/>
        <w:gridCol w:w="320"/>
        <w:gridCol w:w="1"/>
        <w:gridCol w:w="1154"/>
        <w:gridCol w:w="1"/>
        <w:gridCol w:w="503"/>
        <w:gridCol w:w="342"/>
        <w:gridCol w:w="429"/>
        <w:gridCol w:w="1"/>
        <w:gridCol w:w="1155"/>
        <w:gridCol w:w="613"/>
        <w:gridCol w:w="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481" w:type="dxa"/>
            <w:gridSpan w:val="2"/>
            <w:vMerge w:val="restart"/>
            <w:vAlign w:val="center"/>
          </w:tcPr>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工</w:t>
            </w:r>
          </w:p>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程</w:t>
            </w:r>
          </w:p>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类</w:t>
            </w:r>
          </w:p>
          <w:p>
            <w:pPr>
              <w:widowControl/>
              <w:jc w:val="center"/>
              <w:rPr>
                <w:rFonts w:ascii="华文仿宋" w:hAnsi="华文仿宋" w:eastAsia="华文仿宋"/>
                <w:b/>
                <w:bCs/>
                <w:kern w:val="0"/>
                <w:sz w:val="16"/>
                <w:szCs w:val="21"/>
              </w:rPr>
            </w:pPr>
            <w:r>
              <w:rPr>
                <w:rFonts w:hint="eastAsia" w:ascii="华文仿宋" w:hAnsi="华文仿宋" w:eastAsia="华文仿宋"/>
                <w:bCs/>
                <w:kern w:val="0"/>
                <w:sz w:val="16"/>
                <w:szCs w:val="21"/>
              </w:rPr>
              <w:t>别</w:t>
            </w:r>
          </w:p>
        </w:tc>
        <w:tc>
          <w:tcPr>
            <w:tcW w:w="1774" w:type="dxa"/>
            <w:vMerge w:val="restart"/>
            <w:tcMar>
              <w:top w:w="0" w:type="dxa"/>
              <w:left w:w="57" w:type="dxa"/>
              <w:bottom w:w="0" w:type="dxa"/>
              <w:right w:w="57" w:type="dxa"/>
            </w:tcMar>
            <w:vAlign w:val="center"/>
          </w:tcPr>
          <w:p>
            <w:pPr>
              <w:widowControl/>
              <w:ind w:hanging="181"/>
              <w:jc w:val="center"/>
              <w:rPr>
                <w:rFonts w:ascii="华文仿宋" w:hAnsi="华文仿宋" w:eastAsia="华文仿宋"/>
                <w:bCs/>
                <w:kern w:val="0"/>
                <w:sz w:val="16"/>
                <w:szCs w:val="21"/>
              </w:rPr>
            </w:pPr>
            <w:r>
              <w:rPr>
                <w:rFonts w:hint="eastAsia" w:ascii="华文仿宋" w:hAnsi="华文仿宋" w:eastAsia="华文仿宋"/>
                <w:bCs/>
                <w:kern w:val="0"/>
                <w:sz w:val="16"/>
                <w:szCs w:val="21"/>
              </w:rPr>
              <w:t>工程规模</w:t>
            </w:r>
          </w:p>
          <w:p>
            <w:pPr>
              <w:widowControl/>
              <w:rPr>
                <w:rFonts w:ascii="华文仿宋" w:hAnsi="华文仿宋" w:eastAsia="华文仿宋"/>
                <w:kern w:val="0"/>
                <w:sz w:val="16"/>
                <w:szCs w:val="21"/>
              </w:rPr>
            </w:pPr>
            <w:r>
              <w:rPr>
                <w:rFonts w:hint="eastAsia" w:ascii="华文仿宋" w:hAnsi="华文仿宋" w:eastAsia="华文仿宋"/>
                <w:kern w:val="0"/>
                <w:sz w:val="16"/>
                <w:szCs w:val="21"/>
              </w:rPr>
              <w:t>M——总建筑面积（m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w:t>
            </w:r>
          </w:p>
          <w:p>
            <w:pPr>
              <w:widowControl/>
              <w:rPr>
                <w:rFonts w:ascii="华文仿宋" w:hAnsi="华文仿宋" w:eastAsia="华文仿宋"/>
                <w:kern w:val="0"/>
                <w:sz w:val="16"/>
                <w:szCs w:val="21"/>
              </w:rPr>
            </w:pPr>
            <w:r>
              <w:rPr>
                <w:rFonts w:hint="eastAsia" w:ascii="华文仿宋" w:hAnsi="华文仿宋" w:eastAsia="华文仿宋"/>
                <w:kern w:val="0"/>
                <w:sz w:val="16"/>
                <w:szCs w:val="21"/>
              </w:rPr>
              <w:t>N——工程造价（万元）</w:t>
            </w:r>
          </w:p>
        </w:tc>
        <w:tc>
          <w:tcPr>
            <w:tcW w:w="7605" w:type="dxa"/>
            <w:gridSpan w:val="18"/>
            <w:tcMar>
              <w:top w:w="0" w:type="dxa"/>
              <w:left w:w="57" w:type="dxa"/>
              <w:bottom w:w="0" w:type="dxa"/>
              <w:right w:w="57" w:type="dxa"/>
            </w:tcMar>
            <w:vAlign w:val="center"/>
          </w:tcPr>
          <w:p>
            <w:pPr>
              <w:widowControl/>
              <w:ind w:hanging="181"/>
              <w:jc w:val="center"/>
              <w:rPr>
                <w:rFonts w:ascii="华文仿宋" w:hAnsi="华文仿宋" w:eastAsia="华文仿宋"/>
                <w:kern w:val="0"/>
                <w:sz w:val="16"/>
                <w:szCs w:val="21"/>
              </w:rPr>
            </w:pPr>
            <w:r>
              <w:rPr>
                <w:rFonts w:hint="eastAsia" w:ascii="华文仿宋" w:hAnsi="华文仿宋" w:eastAsia="华文仿宋"/>
                <w:bCs/>
                <w:kern w:val="0"/>
                <w:sz w:val="16"/>
                <w:szCs w:val="21"/>
              </w:rPr>
              <w:t>各施工阶段配备人员数量（人）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481" w:type="dxa"/>
            <w:gridSpan w:val="2"/>
            <w:vMerge w:val="continue"/>
            <w:vAlign w:val="center"/>
          </w:tcPr>
          <w:p>
            <w:pPr>
              <w:widowControl/>
              <w:jc w:val="left"/>
              <w:rPr>
                <w:rFonts w:ascii="华文仿宋" w:hAnsi="华文仿宋" w:eastAsia="华文仿宋"/>
                <w:kern w:val="0"/>
                <w:sz w:val="16"/>
                <w:szCs w:val="21"/>
              </w:rPr>
            </w:pPr>
          </w:p>
        </w:tc>
        <w:tc>
          <w:tcPr>
            <w:tcW w:w="1774" w:type="dxa"/>
            <w:vMerge w:val="continue"/>
            <w:vAlign w:val="center"/>
          </w:tcPr>
          <w:p>
            <w:pPr>
              <w:widowControl/>
              <w:jc w:val="left"/>
              <w:rPr>
                <w:rFonts w:ascii="华文仿宋" w:hAnsi="华文仿宋" w:eastAsia="华文仿宋"/>
                <w:kern w:val="0"/>
                <w:sz w:val="16"/>
                <w:szCs w:val="21"/>
              </w:rPr>
            </w:pPr>
          </w:p>
        </w:tc>
        <w:tc>
          <w:tcPr>
            <w:tcW w:w="2744" w:type="dxa"/>
            <w:gridSpan w:val="7"/>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地基与基础阶段</w:t>
            </w:r>
          </w:p>
        </w:tc>
        <w:tc>
          <w:tcPr>
            <w:tcW w:w="2321" w:type="dxa"/>
            <w:gridSpan w:val="6"/>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主体阶段</w:t>
            </w:r>
          </w:p>
        </w:tc>
        <w:tc>
          <w:tcPr>
            <w:tcW w:w="2540" w:type="dxa"/>
            <w:gridSpan w:val="5"/>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装饰阶段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7" w:hRule="atLeast"/>
          <w:jc w:val="center"/>
        </w:trPr>
        <w:tc>
          <w:tcPr>
            <w:tcW w:w="481" w:type="dxa"/>
            <w:gridSpan w:val="2"/>
            <w:vMerge w:val="continue"/>
            <w:vAlign w:val="center"/>
          </w:tcPr>
          <w:p>
            <w:pPr>
              <w:widowControl/>
              <w:jc w:val="left"/>
              <w:rPr>
                <w:rFonts w:ascii="华文仿宋" w:hAnsi="华文仿宋" w:eastAsia="华文仿宋"/>
                <w:kern w:val="0"/>
                <w:sz w:val="16"/>
                <w:szCs w:val="21"/>
              </w:rPr>
            </w:pPr>
          </w:p>
        </w:tc>
        <w:tc>
          <w:tcPr>
            <w:tcW w:w="1774" w:type="dxa"/>
            <w:vMerge w:val="continue"/>
            <w:vAlign w:val="center"/>
          </w:tcPr>
          <w:p>
            <w:pPr>
              <w:widowControl/>
              <w:jc w:val="left"/>
              <w:rPr>
                <w:rFonts w:ascii="华文仿宋" w:hAnsi="华文仿宋" w:eastAsia="华文仿宋"/>
                <w:kern w:val="0"/>
                <w:sz w:val="16"/>
                <w:szCs w:val="21"/>
              </w:rPr>
            </w:pPr>
          </w:p>
        </w:tc>
        <w:tc>
          <w:tcPr>
            <w:tcW w:w="526" w:type="dxa"/>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504"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c>
          <w:tcPr>
            <w:tcW w:w="320" w:type="dxa"/>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56"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50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c>
          <w:tcPr>
            <w:tcW w:w="429" w:type="dxa"/>
            <w:tcMar>
              <w:top w:w="0" w:type="dxa"/>
              <w:left w:w="57" w:type="dxa"/>
              <w:bottom w:w="0" w:type="dxa"/>
              <w:right w:w="57" w:type="dxa"/>
            </w:tcMar>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5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房</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屋</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建</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筑</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程</w:t>
            </w:r>
          </w:p>
        </w:tc>
        <w:tc>
          <w:tcPr>
            <w:tcW w:w="312"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公共</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建筑</w:t>
            </w: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M≤10000</w:t>
            </w:r>
          </w:p>
        </w:tc>
        <w:tc>
          <w:tcPr>
            <w:tcW w:w="52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42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10000＜M≤30000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2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2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30000＜M≤50000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4"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2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c>
          <w:tcPr>
            <w:tcW w:w="42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M＞50000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以50000m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为基数，每增加20000</w:t>
            </w:r>
            <w:r>
              <w:rPr>
                <w:rFonts w:hint="eastAsia" w:ascii="华文仿宋" w:hAnsi="华文仿宋" w:eastAsia="华文仿宋" w:cs="宋体"/>
                <w:kern w:val="0"/>
                <w:sz w:val="16"/>
                <w:szCs w:val="21"/>
              </w:rPr>
              <w:t>㎡</w:t>
            </w:r>
            <w:r>
              <w:rPr>
                <w:rFonts w:hint="eastAsia" w:ascii="华文仿宋" w:hAnsi="华文仿宋" w:eastAsia="华文仿宋" w:cs="仿宋_GB2312"/>
                <w:kern w:val="0"/>
                <w:sz w:val="16"/>
                <w:szCs w:val="21"/>
              </w:rPr>
              <w:t>以内</w:t>
            </w:r>
            <w:r>
              <w:rPr>
                <w:rFonts w:hint="eastAsia" w:ascii="华文仿宋" w:hAnsi="华文仿宋" w:eastAsia="华文仿宋"/>
                <w:kern w:val="0"/>
                <w:sz w:val="16"/>
                <w:szCs w:val="21"/>
              </w:rPr>
              <w:t>，各阶段专业监理工程师和监理员各增加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住宅</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小区</w:t>
            </w: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M≤30000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72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30000＜M≤60000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72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60000＜M≤90000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72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90000＜M≤120000</w:t>
            </w:r>
          </w:p>
        </w:tc>
        <w:tc>
          <w:tcPr>
            <w:tcW w:w="526"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72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8</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13"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M＞120000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以120000m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为基数，每增加30000m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以内,各阶段专业监理工程师和监理员增加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jc w:val="center"/>
              <w:rPr>
                <w:rFonts w:ascii="华文仿宋" w:hAnsi="华文仿宋" w:eastAsia="华文仿宋"/>
                <w:kern w:val="0"/>
                <w:sz w:val="16"/>
                <w:szCs w:val="21"/>
              </w:rPr>
            </w:pPr>
          </w:p>
        </w:tc>
        <w:tc>
          <w:tcPr>
            <w:tcW w:w="312"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工业</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厂房</w:t>
            </w: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M≤10000</w:t>
            </w:r>
          </w:p>
        </w:tc>
        <w:tc>
          <w:tcPr>
            <w:tcW w:w="1104"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4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ind w:firstLine="320" w:firstLineChars="200"/>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10000＜M≤30000</w:t>
            </w:r>
          </w:p>
        </w:tc>
        <w:tc>
          <w:tcPr>
            <w:tcW w:w="1104"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4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30000＜M≤50000</w:t>
            </w:r>
          </w:p>
        </w:tc>
        <w:tc>
          <w:tcPr>
            <w:tcW w:w="1104"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47"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36"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5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21"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4"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0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30" w:type="dxa"/>
            <w:gridSpan w:val="2"/>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55"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1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2"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169" w:type="dxa"/>
            <w:vMerge w:val="continue"/>
            <w:vAlign w:val="center"/>
          </w:tcPr>
          <w:p>
            <w:pPr>
              <w:widowControl/>
              <w:rPr>
                <w:rFonts w:ascii="华文仿宋" w:hAnsi="华文仿宋" w:eastAsia="华文仿宋"/>
                <w:kern w:val="0"/>
                <w:sz w:val="16"/>
                <w:szCs w:val="21"/>
              </w:rPr>
            </w:pPr>
          </w:p>
        </w:tc>
        <w:tc>
          <w:tcPr>
            <w:tcW w:w="312" w:type="dxa"/>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M＞50000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以50000m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为基数，每增加20000m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以内,各阶段专业监理工程师和监理员各增加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481" w:type="dxa"/>
            <w:gridSpan w:val="2"/>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市政</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基础</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设施</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工程</w:t>
            </w: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N≤1000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u w:val="single"/>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3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481" w:type="dxa"/>
            <w:gridSpan w:val="2"/>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1000＜N≤5000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5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3" w:hRule="atLeast"/>
          <w:jc w:val="center"/>
        </w:trPr>
        <w:tc>
          <w:tcPr>
            <w:tcW w:w="481" w:type="dxa"/>
            <w:gridSpan w:val="2"/>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5000＜N≤10000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4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7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0" w:hRule="atLeast"/>
          <w:jc w:val="center"/>
        </w:trPr>
        <w:tc>
          <w:tcPr>
            <w:tcW w:w="481" w:type="dxa"/>
            <w:gridSpan w:val="2"/>
            <w:vMerge w:val="continue"/>
            <w:vAlign w:val="center"/>
          </w:tcPr>
          <w:p>
            <w:pPr>
              <w:widowControl/>
              <w:jc w:val="center"/>
              <w:rPr>
                <w:rFonts w:ascii="华文仿宋" w:hAnsi="华文仿宋" w:eastAsia="华文仿宋"/>
                <w:kern w:val="0"/>
                <w:sz w:val="16"/>
                <w:szCs w:val="21"/>
              </w:rPr>
            </w:pPr>
          </w:p>
        </w:tc>
        <w:tc>
          <w:tcPr>
            <w:tcW w:w="1774"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N＞10000</w:t>
            </w:r>
          </w:p>
        </w:tc>
        <w:tc>
          <w:tcPr>
            <w:tcW w:w="7605" w:type="dxa"/>
            <w:gridSpan w:val="18"/>
            <w:tcMar>
              <w:top w:w="0" w:type="dxa"/>
              <w:left w:w="57" w:type="dxa"/>
              <w:bottom w:w="0" w:type="dxa"/>
              <w:right w:w="57" w:type="dxa"/>
            </w:tcMar>
            <w:vAlign w:val="center"/>
          </w:tcPr>
          <w:p>
            <w:pPr>
              <w:widowControl/>
              <w:rPr>
                <w:rFonts w:ascii="华文仿宋" w:hAnsi="华文仿宋" w:eastAsia="华文仿宋"/>
                <w:kern w:val="0"/>
                <w:sz w:val="16"/>
                <w:szCs w:val="21"/>
                <w:u w:val="single"/>
              </w:rPr>
            </w:pPr>
            <w:r>
              <w:rPr>
                <w:rFonts w:hint="eastAsia" w:ascii="华文仿宋" w:hAnsi="华文仿宋" w:eastAsia="华文仿宋"/>
                <w:kern w:val="0"/>
                <w:sz w:val="16"/>
                <w:szCs w:val="21"/>
              </w:rPr>
              <w:t>以10000万元为基数，工程造价每增加5000万元以内，专业监理工程师增加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人，监量员增加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bl>
    <w:p>
      <w:pPr>
        <w:keepNext w:val="0"/>
        <w:keepLines w:val="0"/>
        <w:pageBreakBefore w:val="0"/>
        <w:kinsoku/>
        <w:wordWrap/>
        <w:overflowPunct/>
        <w:topLinePunct w:val="0"/>
        <w:autoSpaceDE/>
        <w:autoSpaceDN/>
        <w:bidi w:val="0"/>
        <w:adjustRightInd/>
        <w:snapToGrid/>
        <w:spacing w:line="240" w:lineRule="exact"/>
        <w:ind w:right="0" w:rightChars="0" w:firstLine="320" w:firstLineChars="200"/>
        <w:jc w:val="left"/>
        <w:textAlignment w:val="auto"/>
        <w:rPr>
          <w:rFonts w:hint="eastAsia" w:ascii="华文仿宋" w:hAnsi="华文仿宋" w:eastAsia="华文仿宋"/>
          <w:sz w:val="16"/>
          <w:szCs w:val="21"/>
        </w:rPr>
      </w:pPr>
      <w:r>
        <w:rPr>
          <w:rFonts w:hint="eastAsia" w:ascii="华文仿宋" w:hAnsi="华文仿宋" w:eastAsia="华文仿宋"/>
          <w:sz w:val="16"/>
          <w:szCs w:val="21"/>
        </w:rPr>
        <w:t>注：1.此标准为江苏省建设工程项目监理机构主要管理人员最低配备标准。2.标准中总监是指项目总监理工程师（包括国家注册监理工程师和江苏省监理工程师），其他岗位需符合国家和江苏省建设行政主管部门有关规定。3.考虑工程复杂程度和工期安排，可以对配备情况进行调整，以双方约定或投标承诺为准，但应满足项目监理机构主要管理人员最低配备标准要求。</w:t>
      </w:r>
    </w:p>
    <w:p>
      <w:pPr>
        <w:keepNext w:val="0"/>
        <w:keepLines w:val="0"/>
        <w:pageBreakBefore w:val="0"/>
        <w:widowControl/>
        <w:shd w:val="clear" w:color="auto" w:fill="FFFFFF"/>
        <w:kinsoku/>
        <w:wordWrap/>
        <w:overflowPunct/>
        <w:topLinePunct w:val="0"/>
        <w:autoSpaceDE/>
        <w:autoSpaceDN/>
        <w:bidi w:val="0"/>
        <w:adjustRightInd/>
        <w:snapToGrid/>
        <w:spacing w:line="240" w:lineRule="exact"/>
        <w:ind w:left="420" w:leftChars="200" w:right="0" w:rightChars="0" w:firstLine="320" w:firstLineChars="200"/>
        <w:jc w:val="left"/>
        <w:textAlignment w:val="auto"/>
        <w:rPr>
          <w:rFonts w:ascii="Times New Roman" w:hAnsi="Times New Roman" w:cs="Times New Roman"/>
          <w:b/>
          <w:color w:val="000000"/>
          <w:sz w:val="18"/>
          <w:shd w:val="clear" w:color="auto" w:fill="FFFFFF"/>
        </w:rPr>
      </w:pPr>
      <w:r>
        <w:rPr>
          <w:rFonts w:hint="eastAsia" w:ascii="Times New Roman" w:hAnsi="Times New Roman" w:cs="Times New Roman"/>
          <w:b/>
          <w:color w:val="000000"/>
          <w:sz w:val="18"/>
          <w:shd w:val="clear" w:color="auto" w:fill="FFFFFF"/>
        </w:rPr>
        <w:t>2.施工现场监理机构人员配置不满足要求的处理方法?</w:t>
      </w:r>
    </w:p>
    <w:p>
      <w:pPr>
        <w:pStyle w:val="8"/>
        <w:keepNext w:val="0"/>
        <w:keepLines w:val="0"/>
        <w:pageBreakBefore w:val="0"/>
        <w:widowControl/>
        <w:shd w:val="clear" w:color="auto" w:fill="FFFFFF"/>
        <w:kinsoku/>
        <w:wordWrap/>
        <w:overflowPunct/>
        <w:topLinePunct w:val="0"/>
        <w:autoSpaceDE/>
        <w:autoSpaceDN/>
        <w:bidi w:val="0"/>
        <w:adjustRightInd/>
        <w:snapToGrid/>
        <w:spacing w:line="240" w:lineRule="exact"/>
        <w:ind w:left="198" w:right="0" w:rightChars="0" w:firstLine="320" w:firstLineChars="200"/>
        <w:jc w:val="left"/>
        <w:textAlignment w:val="auto"/>
        <w:outlineLvl w:val="2"/>
        <w:rPr>
          <w:rFonts w:hint="eastAsia" w:ascii="Times New Roman" w:hAnsi="Times New Roman" w:cs="Times New Roman"/>
        </w:rPr>
      </w:pPr>
      <w:r>
        <w:rPr>
          <w:rFonts w:hint="eastAsia" w:ascii="Times New Roman" w:hAnsi="Times New Roman" w:cs="Times New Roman"/>
        </w:rPr>
        <w:t>1.《江苏省房屋建筑和市政基础设施工程质量监督管理办法》第二十五条 违反本办法第十九条规定，施工单位有下列行为之一的，由住房和城乡建设行政主管部门责令改正，并可处5000元以上3万元以下罚款：（一）未按照规定配备相应的工程项目管理人员的；</w:t>
      </w:r>
    </w:p>
    <w:p>
      <w:pPr>
        <w:pStyle w:val="8"/>
        <w:widowControl/>
        <w:shd w:val="clear" w:color="auto" w:fill="FFFFFF"/>
        <w:spacing w:line="320" w:lineRule="exact"/>
        <w:ind w:left="198" w:firstLine="360"/>
        <w:jc w:val="left"/>
        <w:outlineLvl w:val="2"/>
        <w:rPr>
          <w:sz w:val="16"/>
        </w:rPr>
      </w:pPr>
      <w:r>
        <w:rPr>
          <w:rFonts w:hint="eastAsia" w:ascii="Times New Roman" w:hAnsi="Times New Roman" w:cs="Times New Roman"/>
          <w:sz w:val="18"/>
        </w:rPr>
        <w:t>2.《南京市建筑市场管理若干规定》第三十九条 第三十九条　违反本规定，有下列行为之一的，由建设行政主管部门责令限期改正，对第（一）至（六）项行为，可处500元以上2000元以下罚款；对第（七）、（八）项行为，可处5000元以上30000元以下罚款:（七）项目经理部或项目监理机构的主要管理人员不符合规定要求的；</w:t>
      </w:r>
      <w:r>
        <w:rPr>
          <w:rFonts w:ascii="Times New Roman" w:hAnsi="Times New Roman" w:cs="Times New Roman"/>
          <w:sz w:val="18"/>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3522A8"/>
    <w:rsid w:val="00424C0D"/>
    <w:rsid w:val="004B7499"/>
    <w:rsid w:val="0075704C"/>
    <w:rsid w:val="00874682"/>
    <w:rsid w:val="008E480F"/>
    <w:rsid w:val="00B116C9"/>
    <w:rsid w:val="00B77517"/>
    <w:rsid w:val="00E87295"/>
    <w:rsid w:val="4F1E4A48"/>
    <w:rsid w:val="61A245D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266</Words>
  <Characters>1518</Characters>
  <Lines>12</Lines>
  <Paragraphs>3</Paragraphs>
  <ScaleCrop>false</ScaleCrop>
  <LinksUpToDate>false</LinksUpToDate>
  <CharactersWithSpaces>1781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2016-05-13T07:38:56Z</cp:lastPrinted>
  <dcterms:modified xsi:type="dcterms:W3CDTF">2016-05-13T07:38:59Z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