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B17B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Verdana" w:hAnsi="Verdana" w:cs="Verdana"/>
          <w:i w:val="0"/>
          <w:iCs w:val="0"/>
          <w:caps w:val="0"/>
          <w:color w:val="000000" w:themeColor="text1"/>
          <w:spacing w:val="0"/>
          <w:sz w:val="18"/>
          <w:szCs w:val="18"/>
          <w:shd w:val="clear"/>
          <w:lang w:val="en-US"/>
          <w14:textFill>
            <w14:solidFill>
              <w14:schemeClr w14:val="tx1"/>
            </w14:solidFill>
          </w14:textFill>
        </w:rPr>
      </w:pPr>
      <w:r>
        <w:rPr>
          <w:rFonts w:ascii="黑体" w:hAnsi="宋体" w:eastAsia="黑体" w:cs="黑体"/>
          <w:b/>
          <w:bCs/>
          <w:i w:val="0"/>
          <w:iCs w:val="0"/>
          <w:caps w:val="0"/>
          <w:color w:val="000000" w:themeColor="text1"/>
          <w:spacing w:val="0"/>
          <w:kern w:val="0"/>
          <w:sz w:val="44"/>
          <w:szCs w:val="44"/>
          <w:shd w:val="clear"/>
          <w:lang w:val="en-US" w:eastAsia="zh-CN" w:bidi="ar"/>
          <w14:textFill>
            <w14:solidFill>
              <w14:schemeClr w14:val="tx1"/>
            </w14:solidFill>
          </w14:textFill>
        </w:rPr>
        <w:t>“宁勤绩”常见</w:t>
      </w:r>
      <w:r>
        <w:rPr>
          <w:rFonts w:hint="eastAsia" w:ascii="黑体" w:hAnsi="宋体" w:eastAsia="黑体" w:cs="黑体"/>
          <w:b/>
          <w:bCs/>
          <w:i w:val="0"/>
          <w:iCs w:val="0"/>
          <w:caps w:val="0"/>
          <w:color w:val="000000" w:themeColor="text1"/>
          <w:spacing w:val="0"/>
          <w:kern w:val="0"/>
          <w:sz w:val="44"/>
          <w:szCs w:val="44"/>
          <w:shd w:val="clear"/>
          <w:lang w:val="en-US" w:eastAsia="zh-CN" w:bidi="ar"/>
          <w14:textFill>
            <w14:solidFill>
              <w14:schemeClr w14:val="tx1"/>
            </w14:solidFill>
          </w14:textFill>
        </w:rPr>
        <w:t>问题解答及提示处理方法</w:t>
      </w:r>
    </w:p>
    <w:p w14:paraId="664ADA3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rPr>
          <w:rFonts w:hint="eastAsia" w:ascii="仿宋" w:hAnsi="仿宋" w:eastAsia="仿宋" w:cs="仿宋"/>
          <w:b/>
          <w:bCs/>
          <w:i w:val="0"/>
          <w:iCs w:val="0"/>
          <w:caps w:val="0"/>
          <w:color w:val="555555"/>
          <w:spacing w:val="0"/>
          <w:sz w:val="30"/>
          <w:szCs w:val="30"/>
          <w:shd w:val="clear"/>
          <w:lang w:val="en-US" w:eastAsia="zh-CN"/>
        </w:rPr>
      </w:pPr>
    </w:p>
    <w:p w14:paraId="531E5BF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0"/>
        <w:textAlignment w:val="auto"/>
        <w:rPr>
          <w:rFonts w:hint="default" w:ascii="仿宋" w:hAnsi="仿宋" w:eastAsia="仿宋" w:cs="仿宋"/>
          <w:b/>
          <w:bCs/>
          <w:i w:val="0"/>
          <w:iCs w:val="0"/>
          <w:caps w:val="0"/>
          <w:color w:val="555555"/>
          <w:spacing w:val="0"/>
          <w:sz w:val="30"/>
          <w:szCs w:val="30"/>
          <w:shd w:val="clear"/>
          <w:lang w:val="en-US" w:eastAsia="zh-CN"/>
        </w:rPr>
      </w:pPr>
      <w:r>
        <w:rPr>
          <w:rFonts w:hint="eastAsia" w:ascii="黑体" w:hAnsi="黑体" w:eastAsia="黑体" w:cs="黑体"/>
          <w:b/>
          <w:bCs/>
          <w:i w:val="0"/>
          <w:iCs w:val="0"/>
          <w:caps w:val="0"/>
          <w:color w:val="000000" w:themeColor="text1"/>
          <w:spacing w:val="0"/>
          <w:sz w:val="30"/>
          <w:szCs w:val="30"/>
          <w:shd w:val="clear"/>
          <w:lang w:val="en-US" w:eastAsia="zh-CN"/>
          <w14:textFill>
            <w14:solidFill>
              <w14:schemeClr w14:val="tx1"/>
            </w14:solidFill>
          </w14:textFill>
        </w:rPr>
        <w:t>一、常见问题解答</w:t>
      </w:r>
    </w:p>
    <w:p w14:paraId="4F46B9D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1、问：“宁勤绩”实名到岗考勤（以下简称“考勤”）前是否必须要做合同归集？</w:t>
      </w:r>
    </w:p>
    <w:p w14:paraId="0F4FD7C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555555"/>
          <w:spacing w:val="0"/>
          <w:kern w:val="0"/>
          <w:sz w:val="30"/>
          <w:szCs w:val="30"/>
          <w:shd w:val="clear"/>
          <w:lang w:val="en-US" w:eastAsia="zh-CN" w:bidi="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答：是的，先要在“江苏省建筑市场监管与诚信信息一体化平台”进行合同归集。</w:t>
      </w:r>
    </w:p>
    <w:p w14:paraId="1755CE8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2、问：“宁勤绩”考勤如何申请？</w:t>
      </w:r>
    </w:p>
    <w:p w14:paraId="6A4A93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答：合同归集已归集且抽查通过后，各企业可通过“南京市智慧城建综合服务平台”-“建设工程”-“现场管理”-“管理人员考勤”申请考勤。</w:t>
      </w:r>
    </w:p>
    <w:p w14:paraId="2D7D65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进入考勤申请界面后，点击“添加考勤申请”，“搜索”考勤工程，选择（勾选）需考勤的工程添加即可。（建设单位、监理单位、施工总承包单位、专业承包单位、分包单位的项目管理人员均需考勤）</w:t>
      </w:r>
    </w:p>
    <w:p w14:paraId="104BDDF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若搜索不到考勤工程，点击“获取合同信息”，同步建委合同至考勤库。</w:t>
      </w:r>
    </w:p>
    <w:p w14:paraId="758219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3、问：施工项目经理部（项目监理机构）如何申请建立考勤小组？</w:t>
      </w:r>
    </w:p>
    <w:p w14:paraId="38FD72E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答：申请考勤勾选工程后，在“宁勤绩二维码获取”里填入该工程总包项目经理（总监、总代）或负责考勤工作的施工员手机号，点击获取二维码，扫描下方的二维码进入注册与登陆界面。</w:t>
      </w:r>
    </w:p>
    <w:p w14:paraId="3E4E2EF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首次通过“宁城慧”小程序进入“宁勤绩”版块完成考勤项目信息设定，然后将施工项目经理部（项目监理机构）其他人员通过发送邀请码的方式一起拉入该考勤组。</w:t>
      </w:r>
    </w:p>
    <w:p w14:paraId="7F38076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4、问：分包单位需要考勤吗？</w:t>
      </w:r>
    </w:p>
    <w:p w14:paraId="0BA301F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需要。按照南京市城乡建设委员会《南京市建筑施工现场项目管理人员实名到岗管理办法》（宁建规字[2025]1号），在南京市行政区域内，房屋建筑和市政基础设施工程施工现场的建设单位、监理单位、施工总承包单位（专业承包单位）、分包单位的项目管理人员需要考勤。</w:t>
      </w:r>
    </w:p>
    <w:p w14:paraId="1FCC0B4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5、问：总包、监理可以使用同一邀请码考勤么？</w:t>
      </w:r>
    </w:p>
    <w:p w14:paraId="0FCDAE7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答：不可以，是两个不同的责任主体，分别扫码建立考勤组。</w:t>
      </w:r>
    </w:p>
    <w:p w14:paraId="75F877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6、问：同一项目不同标段可以使用同一批管理人员考勤吗？</w:t>
      </w:r>
    </w:p>
    <w:p w14:paraId="62B6CC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答：如合同约定是同一批管理人员的话则可以。在</w:t>
      </w:r>
      <w:r>
        <w:rPr>
          <w:rFonts w:hint="eastAsia" w:ascii="仿宋" w:hAnsi="仿宋" w:eastAsia="仿宋" w:cs="仿宋"/>
          <w:i w:val="0"/>
          <w:iCs w:val="0"/>
          <w:caps w:val="0"/>
          <w:color w:val="000000" w:themeColor="text1"/>
          <w:spacing w:val="14"/>
          <w:kern w:val="0"/>
          <w:sz w:val="30"/>
          <w:szCs w:val="30"/>
          <w:shd w:val="clear"/>
          <w:lang w:val="en-US" w:eastAsia="zh-CN" w:bidi="ar"/>
          <w14:textFill>
            <w14:solidFill>
              <w14:schemeClr w14:val="tx1"/>
            </w14:solidFill>
          </w14:textFill>
        </w:rPr>
        <w:t>“南京市智慧城建综合服务平台</w:t>
      </w:r>
      <w:r>
        <w:rPr>
          <w:rFonts w:hint="eastAsia" w:ascii="仿宋" w:hAnsi="仿宋" w:eastAsia="仿宋" w:cs="仿宋"/>
          <w:i w:val="0"/>
          <w:iCs w:val="0"/>
          <w:caps w:val="0"/>
          <w:color w:val="000000" w:themeColor="text1"/>
          <w:spacing w:val="-2"/>
          <w:kern w:val="0"/>
          <w:sz w:val="30"/>
          <w:szCs w:val="30"/>
          <w:shd w:val="clear"/>
          <w:lang w:val="en-US" w:eastAsia="zh-CN" w:bidi="ar"/>
          <w14:textFill>
            <w14:solidFill>
              <w14:schemeClr w14:val="tx1"/>
            </w14:solidFill>
          </w14:textFill>
        </w:rPr>
        <w:t>”考勤申请中关联相应的工程即可（具体流程见“建筑施工现场项目管理人员实名到岗考勤办事指南”）。</w:t>
      </w:r>
    </w:p>
    <w:p w14:paraId="0649FD9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7、问：建筑施工现场项目管理人员实名到岗考勤办事指南在哪里查看？</w:t>
      </w:r>
    </w:p>
    <w:p w14:paraId="006162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方法一：进入“宁城慧”小程序中“宁勤绩”界面，在“文件通知”版块可找到办事指南；方法二：登录“南京市建筑市场监督网”，点击“资料下载”即可在“市场信息科资料下载”栏目中找到办事指南；方法三：企业可添加QQ群684554387（1群）、1128583585（2群）（由于群员有人数限制，后续满员后会申请新群），在群文件中查找“建筑施工现场项目管理人员实名到岗考勤办事指南”。</w:t>
      </w:r>
    </w:p>
    <w:p w14:paraId="67D6C84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8、问：“宁勤绩”管理员是指谁？</w:t>
      </w:r>
    </w:p>
    <w:p w14:paraId="1AA343C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总包单位的项目经理、施工员，监理单位的总监、总监代表可以成为“宁勤绩”管理员（管理员权限可以互相授权，以总包为例，项目经理可以将管理员权限授予多个施工员且不影响自己的权限；但施工员将权限授予项目经理或另一名施工员后自己会失去管理员权限）。“宁勤绩”管理员有权限修改本单位在当前项目的考勤人员、考勤地址、工程形象进度等。</w:t>
      </w:r>
    </w:p>
    <w:p w14:paraId="258F719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lang w:val="en-US"/>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注意：①拥有考勤管理权限的人员发生岗位变更需退出考勤时，应确保考勤组内具有考勤管理权限的人员至少一人。②分包单位的“宁勤绩”管理员默认为第一个扫码加入考勤组的人员，该人员也可移交管理员权限给项目经理或施工员。</w:t>
      </w:r>
    </w:p>
    <w:p w14:paraId="7D767EA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9、问：考勤登录时，提示就职单位与考勤单位不一致怎么办？</w:t>
      </w:r>
    </w:p>
    <w:p w14:paraId="575DA5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系统在出现该提示后将在7天后自动执行人员离岗操作。碰到该提示后正确的操作是首先确认该人员信息是否录入“南京市智慧城建综合服务平台”并核对通过。若考勤人员已离职，则需在宁勤绩考勤项目组中将该人员做退出操作（“宁勤绩”管理员登录“宁城慧”小程序进入“宁勤绩”版块，“我的”-“本单位人员考勤管理”-“人员变更退出项目”，即可将该成员移出考勤组）。</w:t>
      </w:r>
    </w:p>
    <w:p w14:paraId="1847B02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10、问：考勤登录时，显示登录失败，不在南京市智慧城建综合管理平台人员信息库怎么办？</w:t>
      </w:r>
    </w:p>
    <w:p w14:paraId="75FE44C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45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答：确认人员信息是否已录入“南京市智慧城建综合服务平台”核对通过且同步更新（详见“人员信息更新功能-操作指南”）。</w:t>
      </w:r>
    </w:p>
    <w:p w14:paraId="1C2F465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11、问：考勤登录时，显示登录失败，资格低于合同项目部人员资格怎么办（实际上并未发生人员变更）？</w:t>
      </w:r>
    </w:p>
    <w:p w14:paraId="3E98BA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确认该人员信息在“南京市智慧城建综合服务平台”录入完整（如项目经理，需要注册建造师证书和安全员B证，缺一不可；安全员需要安全员C证），证书均在有效期内并核对通过，再将该人员信息进行同步操作（同步方法见“人员信息更新功能-操作指南”）。</w:t>
      </w:r>
    </w:p>
    <w:p w14:paraId="38EF9D5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12、问：考勤登录的时候，岗位选错了怎么办？</w:t>
      </w:r>
    </w:p>
    <w:p w14:paraId="53BF6FF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539"/>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宁勤绩”管理员将该人员退出考勤后重新扫码选择正确岗位登录即可。总监、总监代表、项目经理、施工员其中担任“宁勤绩”管理员的人有权限发起组员变更，具体进入流程为：“我的”-“本单位人员考勤管理”，点击“人员变更退出项目”，即可将该成员移出考勤组，移出考勤组后“宁勤绩”管理员再次发送邀请码给该成员，该成员扫码后选择实际岗位加入考勤组。</w:t>
      </w:r>
    </w:p>
    <w:p w14:paraId="7C7B9A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13、问：考勤地址怎么修改？</w:t>
      </w:r>
    </w:p>
    <w:p w14:paraId="58A065C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4" w:beforeAutospacing="0" w:after="0" w:afterAutospacing="0" w:line="240" w:lineRule="auto"/>
        <w:ind w:left="0" w:right="19"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w:t>
      </w:r>
      <w:r>
        <w:rPr>
          <w:rFonts w:hint="eastAsia" w:ascii="仿宋" w:hAnsi="仿宋" w:eastAsia="仿宋" w:cs="仿宋"/>
          <w:i w:val="0"/>
          <w:iCs w:val="0"/>
          <w:caps w:val="0"/>
          <w:color w:val="000000" w:themeColor="text1"/>
          <w:spacing w:val="-2"/>
          <w:kern w:val="0"/>
          <w:sz w:val="30"/>
          <w:szCs w:val="30"/>
          <w:shd w:val="clear"/>
          <w:lang w:val="en-US" w:eastAsia="zh-CN" w:bidi="ar"/>
          <w14:textFill>
            <w14:solidFill>
              <w14:schemeClr w14:val="tx1"/>
            </w14:solidFill>
          </w14:textFill>
        </w:rPr>
        <w:t>选择考勤地址开始考勤后，考勤地址因定位不准、设置多个地址等原因需修改的，需在</w:t>
      </w:r>
      <w:r>
        <w:rPr>
          <w:rFonts w:hint="eastAsia" w:ascii="仿宋" w:hAnsi="仿宋" w:eastAsia="仿宋" w:cs="仿宋"/>
          <w:i w:val="0"/>
          <w:iCs w:val="0"/>
          <w:caps w:val="0"/>
          <w:color w:val="000000" w:themeColor="text1"/>
          <w:spacing w:val="14"/>
          <w:kern w:val="0"/>
          <w:sz w:val="30"/>
          <w:szCs w:val="30"/>
          <w:shd w:val="clear"/>
          <w:lang w:val="en-US" w:eastAsia="zh-CN" w:bidi="ar"/>
          <w14:textFill>
            <w14:solidFill>
              <w14:schemeClr w14:val="tx1"/>
            </w14:solidFill>
          </w14:textFill>
        </w:rPr>
        <w:t>“南京市智慧城建综合服务平</w:t>
      </w:r>
      <w:r>
        <w:rPr>
          <w:rFonts w:hint="eastAsia" w:ascii="仿宋" w:hAnsi="仿宋" w:eastAsia="仿宋" w:cs="仿宋"/>
          <w:i w:val="0"/>
          <w:iCs w:val="0"/>
          <w:caps w:val="0"/>
          <w:color w:val="000000" w:themeColor="text1"/>
          <w:spacing w:val="-2"/>
          <w:kern w:val="0"/>
          <w:sz w:val="30"/>
          <w:szCs w:val="30"/>
          <w:shd w:val="clear"/>
          <w:lang w:val="en-US" w:eastAsia="zh-CN" w:bidi="ar"/>
          <w14:textFill>
            <w14:solidFill>
              <w14:schemeClr w14:val="tx1"/>
            </w14:solidFill>
          </w14:textFill>
        </w:rPr>
        <w:t>台”考勤申请中提交地址修改申请，主管单位核对通过后，</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“宁勤绩”管理员</w:t>
      </w:r>
      <w:r>
        <w:rPr>
          <w:rFonts w:hint="eastAsia" w:ascii="仿宋" w:hAnsi="仿宋" w:eastAsia="仿宋" w:cs="仿宋"/>
          <w:i w:val="0"/>
          <w:iCs w:val="0"/>
          <w:caps w:val="0"/>
          <w:color w:val="000000" w:themeColor="text1"/>
          <w:spacing w:val="-2"/>
          <w:kern w:val="0"/>
          <w:sz w:val="30"/>
          <w:szCs w:val="30"/>
          <w:shd w:val="clear"/>
          <w:lang w:val="en-US" w:eastAsia="zh-CN" w:bidi="ar"/>
          <w14:textFill>
            <w14:solidFill>
              <w14:schemeClr w14:val="tx1"/>
            </w14:solidFill>
          </w14:textFill>
        </w:rPr>
        <w:t>可在“宁勤绩”中重新设定考勤地址。</w:t>
      </w:r>
    </w:p>
    <w:p w14:paraId="2E26F5E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14、问：考勤人员或考勤微信号如何更换？</w:t>
      </w:r>
    </w:p>
    <w:p w14:paraId="767DB2F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lang w:val="en-US"/>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①考勤人员变更（例如安全员变更），“宁勤绩”管理员直接移出（“我的”-“本单位人员考勤管理”-“人员变更退出项目”）该岗位原考勤人员后，发送邀请码邀请新的人员进入即可。②考勤微信号变更，该情况目前无法直接进行变更，需“宁勤绩”管理员先将其移出考勤组，并发送邀请码至该考勤人员新微信号，通过新微信号重新扫码加入考勤组。</w:t>
      </w:r>
    </w:p>
    <w:p w14:paraId="129A817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15、问：关于停工、周末休息是否需要考勤打卡？</w:t>
      </w:r>
    </w:p>
    <w:p w14:paraId="1A1ECED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①项目现场停工的，请按照《建筑施工现场项目管理人员考勤办事指南》在“宁勤绩”中的停复工操作中报备，报备成功后，可暂停考勤。复工时，监理单位签发复工令，在“宁勤绩”报备后，恢复考勤。②工地未停工个人调休的（含周末），在“宁勤绩”中填写请假。</w:t>
      </w:r>
    </w:p>
    <w:p w14:paraId="0C7ADB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16、问：已加入“宁勤绩”考勤组的人员，如何退出考勤？</w:t>
      </w:r>
    </w:p>
    <w:p w14:paraId="52E5EFB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宁勤绩”管理员有权限发起组员变更，具体进入流程为：登录“宁城慧”小程序进入“宁勤绩”版块，“我的”-“本单位人员考勤管理”-“人员变更退出项目”，即可将该成员移出考勤组，移出考勤组后不能再在该项目考勤打卡。人员退出后又返回的，需要再次发送邀请码加入考勤组。</w:t>
      </w:r>
    </w:p>
    <w:p w14:paraId="253541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17、问：月考勤天数和每日考勤时间是如何要求的？</w:t>
      </w:r>
    </w:p>
    <w:p w14:paraId="16532E4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项目现场管理人员在工程开工至工程竣工期间进行考勤，月考勤天数为实际工作天数。每日考勤时间应与施工作业时间相符，当天首次打卡与最后一次打卡时间间隔超过四小时计为有效考勤，无效考勤按当天缺勤计算。</w:t>
      </w:r>
    </w:p>
    <w:p w14:paraId="7281A5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18、问：工程形象进度在“宁勤绩”中如何操作？</w:t>
      </w:r>
    </w:p>
    <w:p w14:paraId="690E557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lang w:val="en-US"/>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答：“宁勤绩”管理员有权限更改工程形象进度，具体进入流程为：“我的”-“工程形象进度”，按实际进度勾选。如项目有多个单位工程且进度不一致时，按实际进度分别勾选，可单选或者多选。</w:t>
      </w:r>
    </w:p>
    <w:p w14:paraId="4CF111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注意：一旦选择形象进度单选一个“工程完工”后，不能再重新变更工程形象进度且无法继续考勤。如选择“工程完工”属误操作，可写申请，报主管部门更改。</w:t>
      </w:r>
    </w:p>
    <w:p w14:paraId="108660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另：①在“宁勤绩”中选择“工程完工”后，当天晚上系统会自动进行数据同步，第二天</w:t>
      </w:r>
      <w:r>
        <w:rPr>
          <w:rFonts w:hint="eastAsia" w:ascii="仿宋" w:hAnsi="仿宋" w:eastAsia="仿宋" w:cs="仿宋"/>
          <w:i w:val="0"/>
          <w:iCs w:val="0"/>
          <w:caps w:val="0"/>
          <w:color w:val="000000" w:themeColor="text1"/>
          <w:spacing w:val="14"/>
          <w:kern w:val="0"/>
          <w:sz w:val="30"/>
          <w:szCs w:val="30"/>
          <w:shd w:val="clear"/>
          <w:lang w:val="en-US" w:eastAsia="zh-CN" w:bidi="ar"/>
          <w14:textFill>
            <w14:solidFill>
              <w14:schemeClr w14:val="tx1"/>
            </w14:solidFill>
          </w14:textFill>
        </w:rPr>
        <w:t>“南京市智慧城建综合服务平台</w:t>
      </w:r>
      <w:r>
        <w:rPr>
          <w:rFonts w:hint="eastAsia" w:ascii="仿宋" w:hAnsi="仿宋" w:eastAsia="仿宋" w:cs="仿宋"/>
          <w:i w:val="0"/>
          <w:iCs w:val="0"/>
          <w:caps w:val="0"/>
          <w:color w:val="000000" w:themeColor="text1"/>
          <w:spacing w:val="-2"/>
          <w:kern w:val="0"/>
          <w:sz w:val="30"/>
          <w:szCs w:val="30"/>
          <w:shd w:val="clear"/>
          <w:lang w:val="en-US" w:eastAsia="zh-CN" w:bidi="ar"/>
          <w14:textFill>
            <w14:solidFill>
              <w14:schemeClr w14:val="tx1"/>
            </w14:solidFill>
          </w14:textFill>
        </w:rPr>
        <w:t>”</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该工程会显示“考勤结束”。②若工程竣工，</w:t>
      </w:r>
      <w:r>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修改“工程形象进度”时，请不要勾选所有进度，只勾选“工程完工”即可，否则无法结束考勤。</w:t>
      </w:r>
    </w:p>
    <w:p w14:paraId="0414CBD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19、问：监理单位总监在同一行政区域内兼任两个或三个项目的总监时，如何进行“宁勤绩”考勤？</w:t>
      </w:r>
    </w:p>
    <w:p w14:paraId="71523B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答：总监根据实际情况在其中一个项目考勤，但必须加入每个项目的考勤组，与此同时，该总监任职的其他一个或者两个项目的总监代表必须考勤；总监在两个或者三个项目的考勤时间累计计算。</w:t>
      </w:r>
    </w:p>
    <w:p w14:paraId="7CF64E3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注意：总监所在的主考勤工程需要申请考勤二维码，其余工程通过“南京市智慧城建综合服务平台”-“建设工程”-“现场管理”-“管理人员考勤”，进入“考勤申请”-“关联工程申请”版块进行关联即可，无需额外申请考勤二维码。</w:t>
      </w:r>
    </w:p>
    <w:p w14:paraId="54EA62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20、问：人脸识别多次都显示失败，提示第二天重试，影响当天考勤怎么办？</w:t>
      </w:r>
    </w:p>
    <w:p w14:paraId="688BA1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人脸识别时确保网络通畅，光线柔和（不要在强光和暗室环境中），可通过采取清理微信缓存、重启手机定位、重新扫码进考勤组、流量和WiFi切换和采用他人热点连接等方式后，再次进行人脸识别。若多次识别失败导致无法打卡，可截图上报考勤异常，或者当天选择请假，第二天重新尝试。</w:t>
      </w:r>
    </w:p>
    <w:p w14:paraId="24D3FB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21、问：考勤开始时间如何认定？</w:t>
      </w:r>
    </w:p>
    <w:p w14:paraId="250F13E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申请考勤时填写的“实际开工时间”即为系统认定的开始考勤时间，未到实际开工时间或申请时未填写实际开工时间，该工程在系统中显示“待考勤”状态，一旦当前日期超过实际开工时间，该工程在系统中自动变为“考勤中”状态，开始计算考勤率。</w:t>
      </w:r>
    </w:p>
    <w:p w14:paraId="5976BFB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22、问：已通过实名制闸机系统考勤还需要在“宁勤绩”中考勤吗？</w:t>
      </w:r>
    </w:p>
    <w:p w14:paraId="76D7BF8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答：需要。进入建筑施工现场的项目管理人员按照各自工作岗位，通过“宁勤绩”版块，进行用户身份信息核验实施实名到岗考勤。</w:t>
      </w:r>
    </w:p>
    <w:p w14:paraId="518373D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23、问：出差了如何在“宁勤绩”中请假？</w:t>
      </w:r>
    </w:p>
    <w:p w14:paraId="189E39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555555"/>
          <w:spacing w:val="0"/>
          <w:sz w:val="18"/>
          <w:szCs w:val="18"/>
          <w:shd w:val="cle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答：“宁勤绩”打卡时要求在考勤地址500米范围内，但请假没有这个限制，可以在任何地方点击请假。</w:t>
      </w:r>
    </w:p>
    <w:p w14:paraId="28D97DF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1305" w:right="0" w:hanging="720"/>
        <w:textAlignment w:val="auto"/>
        <w:rPr>
          <w:rFonts w:hint="default" w:ascii="Verdana" w:hAnsi="Verdana" w:cs="Verdana"/>
          <w:b/>
          <w:bCs/>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2"/>
          <w:sz w:val="30"/>
          <w:szCs w:val="30"/>
          <w:shd w:val="clear"/>
          <w14:textFill>
            <w14:solidFill>
              <w14:schemeClr w14:val="tx1"/>
            </w14:solidFill>
          </w14:textFill>
        </w:rPr>
        <w:t>2</w:t>
      </w:r>
      <w:r>
        <w:rPr>
          <w:rFonts w:hint="eastAsia" w:ascii="仿宋" w:hAnsi="仿宋" w:eastAsia="仿宋" w:cs="仿宋"/>
          <w:b/>
          <w:bCs/>
          <w:i w:val="0"/>
          <w:iCs w:val="0"/>
          <w:caps w:val="0"/>
          <w:color w:val="000000" w:themeColor="text1"/>
          <w:spacing w:val="-2"/>
          <w:sz w:val="30"/>
          <w:szCs w:val="30"/>
          <w:shd w:val="clear"/>
          <w:lang w:val="en-US" w:eastAsia="zh-CN"/>
          <w14:textFill>
            <w14:solidFill>
              <w14:schemeClr w14:val="tx1"/>
            </w14:solidFill>
          </w14:textFill>
        </w:rPr>
        <w:t>4</w:t>
      </w:r>
      <w:r>
        <w:rPr>
          <w:rFonts w:hint="eastAsia" w:ascii="仿宋" w:hAnsi="仿宋" w:eastAsia="仿宋" w:cs="仿宋"/>
          <w:b/>
          <w:bCs/>
          <w:i w:val="0"/>
          <w:iCs w:val="0"/>
          <w:caps w:val="0"/>
          <w:color w:val="000000" w:themeColor="text1"/>
          <w:spacing w:val="-2"/>
          <w:sz w:val="30"/>
          <w:szCs w:val="30"/>
          <w:shd w:val="clear"/>
          <w14:textFill>
            <w14:solidFill>
              <w14:schemeClr w14:val="tx1"/>
            </w14:solidFill>
          </w14:textFill>
        </w:rPr>
        <w:t>、问：出现关于“征管编号关联确认”的提示怎么办？</w:t>
      </w:r>
    </w:p>
    <w:p w14:paraId="3592564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firstLineChars="200"/>
        <w:jc w:val="left"/>
        <w:textAlignment w:val="auto"/>
        <w:rPr>
          <w:rFonts w:hint="default" w:ascii="仿宋" w:hAnsi="仿宋" w:eastAsia="仿宋" w:cs="仿宋"/>
          <w:i w:val="0"/>
          <w:iCs w:val="0"/>
          <w:caps w:val="0"/>
          <w:color w:val="555555"/>
          <w:spacing w:val="0"/>
          <w:kern w:val="0"/>
          <w:sz w:val="30"/>
          <w:szCs w:val="30"/>
          <w:shd w:val="clear"/>
          <w:lang w:val="en-US" w:eastAsia="zh-CN" w:bidi="ar"/>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登录“南京市智慧城建综合服务平台”，从“基础信息”页面，进入“考勤申请”页面；进入“考勤管理”模块，找到提示工程的征管编号栏，搜索并选择相应征管编号进行关联操作。（详见“征管编号关联功能-操作指南”）</w:t>
      </w:r>
    </w:p>
    <w:p w14:paraId="6467CA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25、问：企业因重组分立等原因发生变更，导致考勤企业不对如何操作？</w:t>
      </w:r>
    </w:p>
    <w:p w14:paraId="0B399E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答：向南京市建筑市场监督站企业管理科（监理管理科）申请企业信息变更，待数据合并后系统会修改考勤企业相关信息。</w:t>
      </w:r>
    </w:p>
    <w:p w14:paraId="7359A5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26、问：联合体单位如何进行“宁勤绩”考勤？</w:t>
      </w:r>
    </w:p>
    <w:p w14:paraId="6D2A963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firstLineChars="2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w:t>
      </w:r>
      <w:r>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若联合体成员单位进行考勤，需联系相应主管部门在“南京市智慧城建综合服务平台”中添加联合体单位考勤信息；联合体牵头单位按照</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w:t>
      </w:r>
      <w:r>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建筑施工现场项目管理人员实名到岗考勤办事指南</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w:t>
      </w:r>
      <w:r>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正常申请考勤即可。</w:t>
      </w:r>
    </w:p>
    <w:p w14:paraId="7166525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27、问：自2026年1月1日起，“宁勤绩”迁移至微信小程序“宁城慧”，本次迁移是否会对在此日期前申请的考勤工程产生影响？</w:t>
      </w:r>
    </w:p>
    <w:p w14:paraId="0916CDB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firstLineChars="2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此日期前申请的考勤工程可通过“宁城慧”小程序进入“宁勤绩”正常使用考勤相关功能，但此前申请生成的考勤二维码将失效，只能通过“宁勤绩”管理员邀请的方式加入考勤组，如确有特殊情况，需要使用考勤二维码的，请联系工程所在地主管部门协助处理。</w:t>
      </w:r>
    </w:p>
    <w:p w14:paraId="21D188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28</w:t>
      </w:r>
      <w:bookmarkStart w:id="0" w:name="_GoBack"/>
      <w:bookmarkEnd w:id="0"/>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、问：在使用过程中若有问题如何联系各主管部门进行咨询？</w:t>
      </w:r>
    </w:p>
    <w:p w14:paraId="5D48933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答：</w:t>
      </w: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房建工程</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：南京市建筑市场监督站84632225、84632205（QQ群：1128583585、684554387）</w:t>
      </w:r>
    </w:p>
    <w:p w14:paraId="186145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市政工程</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：南京市市政服务中心57906751</w:t>
      </w:r>
    </w:p>
    <w:p w14:paraId="028EE0F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596" w:leftChars="284" w:right="0" w:firstLine="0" w:firstLineChars="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轨道工程</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：南京市轨道交通建设工程质量安全监督83753545</w:t>
      </w:r>
    </w:p>
    <w:p w14:paraId="4D039A8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default" w:ascii="Verdana" w:hAnsi="Verdana" w:cs="Verdana"/>
          <w:i w:val="0"/>
          <w:iCs w:val="0"/>
          <w:caps w:val="0"/>
          <w:color w:val="000000" w:themeColor="text1"/>
          <w:spacing w:val="0"/>
          <w:sz w:val="18"/>
          <w:szCs w:val="18"/>
          <w:shd w:val="cle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装饰工程</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：南京市装饰行业发展中心83203121</w:t>
      </w:r>
    </w:p>
    <w:p w14:paraId="7E80124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服管中心</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：84870013</w:t>
      </w:r>
    </w:p>
    <w:p w14:paraId="128C0AF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江宁区</w:t>
      </w:r>
      <w:r>
        <w:rPr>
          <w:rFonts w:hint="eastAsia" w:ascii="仿宋" w:hAnsi="仿宋" w:eastAsia="仿宋" w:cs="仿宋"/>
          <w:b w:val="0"/>
          <w:bCs w:val="0"/>
          <w:i w:val="0"/>
          <w:iCs w:val="0"/>
          <w:caps w:val="0"/>
          <w:color w:val="000000" w:themeColor="text1"/>
          <w:spacing w:val="0"/>
          <w:kern w:val="0"/>
          <w:sz w:val="30"/>
          <w:szCs w:val="30"/>
          <w:shd w:val="clear"/>
          <w:lang w:val="en-US" w:eastAsia="zh-CN" w:bidi="ar"/>
          <w14:textFill>
            <w14:solidFill>
              <w14:schemeClr w14:val="tx1"/>
            </w14:solidFill>
          </w14:textFill>
        </w:rPr>
        <w:t>：</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52763561</w:t>
      </w:r>
    </w:p>
    <w:p w14:paraId="592DC3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浦口区</w:t>
      </w:r>
      <w:r>
        <w:rPr>
          <w:rFonts w:hint="eastAsia" w:ascii="仿宋" w:hAnsi="仿宋" w:eastAsia="仿宋" w:cs="仿宋"/>
          <w:b w:val="0"/>
          <w:bCs w:val="0"/>
          <w:i w:val="0"/>
          <w:iCs w:val="0"/>
          <w:caps w:val="0"/>
          <w:color w:val="000000" w:themeColor="text1"/>
          <w:spacing w:val="0"/>
          <w:kern w:val="0"/>
          <w:sz w:val="30"/>
          <w:szCs w:val="30"/>
          <w:shd w:val="clear"/>
          <w:lang w:val="en-US" w:eastAsia="zh-CN" w:bidi="ar"/>
          <w14:textFill>
            <w14:solidFill>
              <w14:schemeClr w14:val="tx1"/>
            </w14:solidFill>
          </w14:textFill>
        </w:rPr>
        <w:t>：</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58151801</w:t>
      </w:r>
    </w:p>
    <w:p w14:paraId="51A64E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江北新区</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：86915580</w:t>
      </w:r>
    </w:p>
    <w:p w14:paraId="797DB51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六合区</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：57114803</w:t>
      </w:r>
    </w:p>
    <w:p w14:paraId="20CACB4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溧水区</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：56221823</w:t>
      </w:r>
    </w:p>
    <w:p w14:paraId="269B479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602" w:firstLineChars="200"/>
        <w:jc w:val="left"/>
        <w:textAlignment w:val="auto"/>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高淳区</w:t>
      </w: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：57314786</w:t>
      </w:r>
    </w:p>
    <w:p w14:paraId="1ACF9086">
      <w:pPr>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br w:type="page"/>
      </w:r>
    </w:p>
    <w:p w14:paraId="5073C34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left"/>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二、提示处理方法</w:t>
      </w:r>
    </w:p>
    <w:p w14:paraId="2A7F2F9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以下对“宁勤绩”常见提示信息、出现原因及处理方法进行解释说明。</w:t>
      </w:r>
    </w:p>
    <w:p w14:paraId="0913093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网站：南京市智慧城建综合服务平台（以下简称：建委平台）；</w:t>
      </w:r>
    </w:p>
    <w:p w14:paraId="63A46FE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南京市建筑市场监管服务平台（以下简称：市场站）。</w:t>
      </w:r>
    </w:p>
    <w:p w14:paraId="55C447C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1.就职单位与考勤单位不一致（考勤人员非本单位人员）</w:t>
      </w:r>
    </w:p>
    <w:p w14:paraId="6B33BA9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提示：系统将在7天后自动执行人员离岗操作</w:t>
      </w:r>
    </w:p>
    <w:p w14:paraId="4EDE12B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szCs w:val="28"/>
        </w:rPr>
      </w:pPr>
      <w:r>
        <w:rPr>
          <w:szCs w:val="28"/>
        </w:rPr>
        <w:drawing>
          <wp:inline distT="0" distB="0" distL="114300" distR="114300">
            <wp:extent cx="2232025" cy="1570355"/>
            <wp:effectExtent l="0" t="0" r="15875" b="10795"/>
            <wp:docPr id="1" name="图片 1" descr="工作单位变更，自动离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作单位变更，自动离岗"/>
                    <pic:cNvPicPr>
                      <a:picLocks noChangeAspect="1"/>
                    </pic:cNvPicPr>
                  </pic:nvPicPr>
                  <pic:blipFill>
                    <a:blip r:embed="rId4"/>
                    <a:srcRect t="30800" b="36718"/>
                    <a:stretch>
                      <a:fillRect/>
                    </a:stretch>
                  </pic:blipFill>
                  <pic:spPr>
                    <a:xfrm>
                      <a:off x="0" y="0"/>
                      <a:ext cx="2232025" cy="1570355"/>
                    </a:xfrm>
                    <a:prstGeom prst="rect">
                      <a:avLst/>
                    </a:prstGeom>
                  </pic:spPr>
                </pic:pic>
              </a:graphicData>
            </a:graphic>
          </wp:inline>
        </w:drawing>
      </w:r>
    </w:p>
    <w:p w14:paraId="567C47A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szCs w:val="28"/>
          <w:lang w:val="en-US" w:eastAsia="zh-CN"/>
        </w:rPr>
      </w:pPr>
      <w:r>
        <w:drawing>
          <wp:inline distT="0" distB="0" distL="114300" distR="114300">
            <wp:extent cx="2271395" cy="1842770"/>
            <wp:effectExtent l="0" t="0" r="14605"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
                    <a:stretch>
                      <a:fillRect/>
                    </a:stretch>
                  </pic:blipFill>
                  <pic:spPr>
                    <a:xfrm>
                      <a:off x="0" y="0"/>
                      <a:ext cx="2271395" cy="1842770"/>
                    </a:xfrm>
                    <a:prstGeom prst="rect">
                      <a:avLst/>
                    </a:prstGeom>
                    <a:noFill/>
                    <a:ln>
                      <a:noFill/>
                    </a:ln>
                  </pic:spPr>
                </pic:pic>
              </a:graphicData>
            </a:graphic>
          </wp:inline>
        </w:drawing>
      </w:r>
    </w:p>
    <w:p w14:paraId="696E317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195CEBA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1.企业人员信息未在建委平台录入且核对通过；</w:t>
      </w:r>
    </w:p>
    <w:p w14:paraId="5389D65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2.企业考勤项目中的考勤人员离职后，未退出该考勤项目组。</w:t>
      </w:r>
    </w:p>
    <w:p w14:paraId="5564B59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例：人员信息已录入南京市智慧城建综合管理平台并核对通过，作为A企业员工参与工程的考勤；一段时间后，离职去了B企业，但是未在A企业的宁勤绩考勤工程中进行离岗操作。</w:t>
      </w:r>
    </w:p>
    <w:p w14:paraId="4B65C2D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4541E6A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1.确认人员信息已录入建委平台且核对通过；</w:t>
      </w:r>
    </w:p>
    <w:p w14:paraId="4D9287D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2.若考勤人员已离职，则需在宁勤绩考勤项目组中将该人员做退出操作。</w:t>
      </w:r>
    </w:p>
    <w:p w14:paraId="47DFB1C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3.若考勤人员没有错误，尝试在南京市建筑市场监管服务平台的人员信息管理中更新人员信息。</w:t>
      </w:r>
    </w:p>
    <w:p w14:paraId="713EF8E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4FE5DEA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2.不在建委平台人员信息库</w:t>
      </w:r>
    </w:p>
    <w:p w14:paraId="689CB2D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2054860" cy="1633855"/>
            <wp:effectExtent l="0" t="0" r="2540" b="4445"/>
            <wp:docPr id="3" name="图片 3" descr="不在人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在人员库"/>
                    <pic:cNvPicPr>
                      <a:picLocks noChangeAspect="1"/>
                    </pic:cNvPicPr>
                  </pic:nvPicPr>
                  <pic:blipFill>
                    <a:blip r:embed="rId6"/>
                    <a:srcRect t="39058" b="24283"/>
                    <a:stretch>
                      <a:fillRect/>
                    </a:stretch>
                  </pic:blipFill>
                  <pic:spPr>
                    <a:xfrm>
                      <a:off x="0" y="0"/>
                      <a:ext cx="2054860" cy="1633855"/>
                    </a:xfrm>
                    <a:prstGeom prst="rect">
                      <a:avLst/>
                    </a:prstGeom>
                  </pic:spPr>
                </pic:pic>
              </a:graphicData>
            </a:graphic>
          </wp:inline>
        </w:drawing>
      </w:r>
    </w:p>
    <w:p w14:paraId="340ED8C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3DC2C58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1.企业人员信息未在建委平台录入且核对通过；</w:t>
      </w:r>
    </w:p>
    <w:p w14:paraId="19ED675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2.企业人员信息未更新（同步）到市场站。</w:t>
      </w:r>
    </w:p>
    <w:p w14:paraId="59DB79E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671D74B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1.确认人员信息已录入建委平台且核对通过；</w:t>
      </w:r>
    </w:p>
    <w:p w14:paraId="1AC272A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2.将人员信息更新至市场站，具体流程详见市场站QQ群文件。</w:t>
      </w:r>
    </w:p>
    <w:p w14:paraId="1684BEC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sz w:val="24"/>
          <w:szCs w:val="24"/>
        </w:rPr>
        <w:drawing>
          <wp:inline distT="0" distB="0" distL="114300" distR="114300">
            <wp:extent cx="2589530" cy="525145"/>
            <wp:effectExtent l="0" t="0" r="1270" b="825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tretch>
                      <a:fillRect/>
                    </a:stretch>
                  </pic:blipFill>
                  <pic:spPr>
                    <a:xfrm>
                      <a:off x="0" y="0"/>
                      <a:ext cx="2589530" cy="525145"/>
                    </a:xfrm>
                    <a:prstGeom prst="rect">
                      <a:avLst/>
                    </a:prstGeom>
                    <a:noFill/>
                    <a:ln w="9525">
                      <a:noFill/>
                    </a:ln>
                  </pic:spPr>
                </pic:pic>
              </a:graphicData>
            </a:graphic>
          </wp:inline>
        </w:drawing>
      </w:r>
    </w:p>
    <w:p w14:paraId="344730B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2064658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3.资格低于合同项目部人员资格&amp;未查询到资格证书</w:t>
      </w:r>
    </w:p>
    <w:p w14:paraId="1E8FA42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pPr>
      <w:r>
        <w:drawing>
          <wp:inline distT="0" distB="0" distL="114300" distR="114300">
            <wp:extent cx="1814830" cy="1541780"/>
            <wp:effectExtent l="0" t="0" r="0" b="0"/>
            <wp:docPr id="2" name="图片 2" descr="宁勤绩_人员资质低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宁勤绩_人员资质低于"/>
                    <pic:cNvPicPr>
                      <a:picLocks noChangeAspect="1"/>
                    </pic:cNvPicPr>
                  </pic:nvPicPr>
                  <pic:blipFill>
                    <a:blip r:embed="rId8"/>
                    <a:srcRect t="34253" b="26554"/>
                    <a:stretch>
                      <a:fillRect/>
                    </a:stretch>
                  </pic:blipFill>
                  <pic:spPr>
                    <a:xfrm>
                      <a:off x="0" y="0"/>
                      <a:ext cx="1814830" cy="1541780"/>
                    </a:xfrm>
                    <a:prstGeom prst="rect">
                      <a:avLst/>
                    </a:prstGeom>
                  </pic:spPr>
                </pic:pic>
              </a:graphicData>
            </a:graphic>
          </wp:inline>
        </w:drawing>
      </w:r>
    </w:p>
    <w:p w14:paraId="6A887D1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lang w:val="en-US" w:eastAsia="zh-CN"/>
        </w:rPr>
      </w:pPr>
      <w:r>
        <w:rPr>
          <w:rFonts w:ascii="宋体" w:hAnsi="宋体" w:eastAsia="宋体" w:cs="宋体"/>
          <w:sz w:val="24"/>
        </w:rPr>
        <w:drawing>
          <wp:inline distT="0" distB="0" distL="114300" distR="114300">
            <wp:extent cx="1830070" cy="138811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rcRect t="28777" b="36236"/>
                    <a:stretch>
                      <a:fillRect/>
                    </a:stretch>
                  </pic:blipFill>
                  <pic:spPr>
                    <a:xfrm>
                      <a:off x="0" y="0"/>
                      <a:ext cx="1830070" cy="1388110"/>
                    </a:xfrm>
                    <a:prstGeom prst="rect">
                      <a:avLst/>
                    </a:prstGeom>
                    <a:noFill/>
                    <a:ln w="9525">
                      <a:noFill/>
                    </a:ln>
                  </pic:spPr>
                </pic:pic>
              </a:graphicData>
            </a:graphic>
          </wp:inline>
        </w:drawing>
      </w:r>
    </w:p>
    <w:p w14:paraId="6E1F5D1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30EDC01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1.企业人员信息未录入齐全或证书已过期；</w:t>
      </w:r>
    </w:p>
    <w:p w14:paraId="6940665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例：岗位：项目经理，需要注册证书：建造师（一级/二级）和岗位证书：安全员B证，缺一不可。岗位：安全员，需要岗位证书安全员C证。</w:t>
      </w:r>
    </w:p>
    <w:p w14:paraId="39859FB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2.企业人员信息未更新（同步）到市场站。</w:t>
      </w:r>
    </w:p>
    <w:p w14:paraId="5DA744E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4DCCBDC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1.确认证书均在有效期内，人员信息已录入建委平台且核对通过；</w:t>
      </w:r>
    </w:p>
    <w:p w14:paraId="74BF982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default"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2.将人员信息更新至市场站，具体流程详见市场站QQ群文件。</w:t>
      </w:r>
    </w:p>
    <w:p w14:paraId="7E936AA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sz w:val="24"/>
          <w:szCs w:val="24"/>
        </w:rPr>
        <w:drawing>
          <wp:inline distT="0" distB="0" distL="114300" distR="114300">
            <wp:extent cx="2288540" cy="464185"/>
            <wp:effectExtent l="0" t="0" r="16510"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2288540" cy="464185"/>
                    </a:xfrm>
                    <a:prstGeom prst="rect">
                      <a:avLst/>
                    </a:prstGeom>
                    <a:noFill/>
                    <a:ln w="9525">
                      <a:noFill/>
                    </a:ln>
                  </pic:spPr>
                </pic:pic>
              </a:graphicData>
            </a:graphic>
          </wp:inline>
        </w:drawing>
      </w:r>
    </w:p>
    <w:p w14:paraId="6D90686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226C0DF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4.未进行身份证验证</w:t>
      </w:r>
    </w:p>
    <w:p w14:paraId="4780CEE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sz w:val="24"/>
        </w:rPr>
        <w:drawing>
          <wp:inline distT="0" distB="0" distL="114300" distR="114300">
            <wp:extent cx="1565275" cy="1238250"/>
            <wp:effectExtent l="0" t="0" r="0"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0"/>
                    <a:srcRect t="28750" b="34774"/>
                    <a:stretch>
                      <a:fillRect/>
                    </a:stretch>
                  </pic:blipFill>
                  <pic:spPr>
                    <a:xfrm>
                      <a:off x="0" y="0"/>
                      <a:ext cx="1565275" cy="1238250"/>
                    </a:xfrm>
                    <a:prstGeom prst="rect">
                      <a:avLst/>
                    </a:prstGeom>
                    <a:noFill/>
                    <a:ln w="9525">
                      <a:noFill/>
                    </a:ln>
                  </pic:spPr>
                </pic:pic>
              </a:graphicData>
            </a:graphic>
          </wp:inline>
        </w:drawing>
      </w:r>
    </w:p>
    <w:p w14:paraId="09AE1C2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478BB83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1、宁勤绩--“我的”，点击头像位置；</w:t>
      </w:r>
    </w:p>
    <w:p w14:paraId="7D8C0F6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1712595" cy="3186430"/>
            <wp:effectExtent l="0" t="0" r="190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1712595" cy="3186430"/>
                    </a:xfrm>
                    <a:prstGeom prst="rect">
                      <a:avLst/>
                    </a:prstGeom>
                    <a:noFill/>
                    <a:ln>
                      <a:noFill/>
                    </a:ln>
                  </pic:spPr>
                </pic:pic>
              </a:graphicData>
            </a:graphic>
          </wp:inline>
        </w:drawing>
      </w:r>
    </w:p>
    <w:p w14:paraId="27B0812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2、“个人中心”中选择“实名认证”。</w:t>
      </w:r>
    </w:p>
    <w:p w14:paraId="04B4156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2038985" cy="2432685"/>
            <wp:effectExtent l="0" t="0" r="1841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38985" cy="2432685"/>
                    </a:xfrm>
                    <a:prstGeom prst="rect">
                      <a:avLst/>
                    </a:prstGeom>
                    <a:noFill/>
                    <a:ln>
                      <a:noFill/>
                    </a:ln>
                  </pic:spPr>
                </pic:pic>
              </a:graphicData>
            </a:graphic>
          </wp:inline>
        </w:drawing>
      </w:r>
    </w:p>
    <w:p w14:paraId="4136FB1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3C823D1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5.无实名制征管编号</w:t>
      </w:r>
    </w:p>
    <w:p w14:paraId="59F4BAC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sz w:val="24"/>
        </w:rPr>
        <w:drawing>
          <wp:inline distT="0" distB="0" distL="114300" distR="114300">
            <wp:extent cx="2768600" cy="2087880"/>
            <wp:effectExtent l="0" t="0" r="12700" b="762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3"/>
                    <a:srcRect t="29611" b="35645"/>
                    <a:stretch>
                      <a:fillRect/>
                    </a:stretch>
                  </pic:blipFill>
                  <pic:spPr>
                    <a:xfrm>
                      <a:off x="0" y="0"/>
                      <a:ext cx="2768600" cy="2087880"/>
                    </a:xfrm>
                    <a:prstGeom prst="rect">
                      <a:avLst/>
                    </a:prstGeom>
                    <a:noFill/>
                    <a:ln w="9525">
                      <a:noFill/>
                    </a:ln>
                  </pic:spPr>
                </pic:pic>
              </a:graphicData>
            </a:graphic>
          </wp:inline>
        </w:drawing>
      </w:r>
    </w:p>
    <w:p w14:paraId="2BA4D96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38C3CF3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1.未在实名制平台为工程登记。</w:t>
      </w:r>
    </w:p>
    <w:p w14:paraId="066A1A5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2.未在南京市建筑市场监管服务平台选择征管编号。</w:t>
      </w:r>
    </w:p>
    <w:p w14:paraId="746F141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756CA2C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需先进入实名制平台完成登记。</w:t>
      </w:r>
    </w:p>
    <w:p w14:paraId="01FD7B3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5005070" cy="3618230"/>
            <wp:effectExtent l="0" t="0" r="508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005070" cy="3618230"/>
                    </a:xfrm>
                    <a:prstGeom prst="rect">
                      <a:avLst/>
                    </a:prstGeom>
                    <a:noFill/>
                    <a:ln>
                      <a:noFill/>
                    </a:ln>
                  </pic:spPr>
                </pic:pic>
              </a:graphicData>
            </a:graphic>
          </wp:inline>
        </w:drawing>
      </w:r>
    </w:p>
    <w:p w14:paraId="4265474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1.从“基础信息”页面，进入“考勤申请”页面；</w:t>
      </w:r>
    </w:p>
    <w:p w14:paraId="2BB75EE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4587240" cy="3153410"/>
            <wp:effectExtent l="0" t="0" r="381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4587240" cy="3153410"/>
                    </a:xfrm>
                    <a:prstGeom prst="rect">
                      <a:avLst/>
                    </a:prstGeom>
                    <a:noFill/>
                    <a:ln>
                      <a:noFill/>
                    </a:ln>
                  </pic:spPr>
                </pic:pic>
              </a:graphicData>
            </a:graphic>
          </wp:inline>
        </w:drawing>
      </w:r>
    </w:p>
    <w:p w14:paraId="3F8D207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2.进入“考勤申请”或“考勤管理”页面；</w:t>
      </w:r>
    </w:p>
    <w:p w14:paraId="10779AC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left"/>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5307965" cy="1536700"/>
            <wp:effectExtent l="0" t="0" r="698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307965" cy="1536700"/>
                    </a:xfrm>
                    <a:prstGeom prst="rect">
                      <a:avLst/>
                    </a:prstGeom>
                    <a:noFill/>
                    <a:ln>
                      <a:noFill/>
                    </a:ln>
                  </pic:spPr>
                </pic:pic>
              </a:graphicData>
            </a:graphic>
          </wp:inline>
        </w:drawing>
      </w:r>
    </w:p>
    <w:p w14:paraId="1A44BB4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3.点击“请选择”按钮，进行合同关联操作；</w:t>
      </w:r>
    </w:p>
    <w:p w14:paraId="045AD86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4.进入弹框页面(征管编号选择)；</w:t>
      </w:r>
    </w:p>
    <w:p w14:paraId="1617897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5361305" cy="2284730"/>
            <wp:effectExtent l="0" t="0" r="10795" b="1270"/>
            <wp:docPr id="21" name="图片 21" descr="企业端_征管编号选择_弹窗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企业端_征管编号选择_弹窗页面"/>
                    <pic:cNvPicPr>
                      <a:picLocks noChangeAspect="1"/>
                    </pic:cNvPicPr>
                  </pic:nvPicPr>
                  <pic:blipFill>
                    <a:blip r:embed="rId17"/>
                    <a:stretch>
                      <a:fillRect/>
                    </a:stretch>
                  </pic:blipFill>
                  <pic:spPr>
                    <a:xfrm>
                      <a:off x="0" y="0"/>
                      <a:ext cx="5361305" cy="2284730"/>
                    </a:xfrm>
                    <a:prstGeom prst="rect">
                      <a:avLst/>
                    </a:prstGeom>
                  </pic:spPr>
                </pic:pic>
              </a:graphicData>
            </a:graphic>
          </wp:inline>
        </w:drawing>
      </w:r>
    </w:p>
    <w:p w14:paraId="2414BB2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5.可分别使用工程名称、征管编号和合同编码三处搜索栏进行相关信息搜索；</w:t>
      </w:r>
    </w:p>
    <w:p w14:paraId="4D6F281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4192905" cy="1283970"/>
            <wp:effectExtent l="0" t="0" r="0" b="0"/>
            <wp:docPr id="22" name="图片 22" descr="企业端_征管_工程名称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企业端_征管_工程名称搜索"/>
                    <pic:cNvPicPr>
                      <a:picLocks noChangeAspect="1"/>
                    </pic:cNvPicPr>
                  </pic:nvPicPr>
                  <pic:blipFill>
                    <a:blip r:embed="rId18"/>
                    <a:srcRect b="60016"/>
                    <a:stretch>
                      <a:fillRect/>
                    </a:stretch>
                  </pic:blipFill>
                  <pic:spPr>
                    <a:xfrm>
                      <a:off x="0" y="0"/>
                      <a:ext cx="4192905" cy="1283970"/>
                    </a:xfrm>
                    <a:prstGeom prst="rect">
                      <a:avLst/>
                    </a:prstGeom>
                  </pic:spPr>
                </pic:pic>
              </a:graphicData>
            </a:graphic>
          </wp:inline>
        </w:drawing>
      </w:r>
    </w:p>
    <w:p w14:paraId="77C7EE8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6.选择征管编号；</w:t>
      </w:r>
    </w:p>
    <w:p w14:paraId="63809E6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4782820" cy="2903855"/>
            <wp:effectExtent l="0" t="0" r="17780" b="10795"/>
            <wp:docPr id="25" name="图片 25" descr="企业端_点击选中行中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企业端_点击选中行中的√"/>
                    <pic:cNvPicPr>
                      <a:picLocks noChangeAspect="1"/>
                    </pic:cNvPicPr>
                  </pic:nvPicPr>
                  <pic:blipFill>
                    <a:blip r:embed="rId19"/>
                    <a:srcRect b="22971"/>
                    <a:stretch>
                      <a:fillRect/>
                    </a:stretch>
                  </pic:blipFill>
                  <pic:spPr>
                    <a:xfrm>
                      <a:off x="0" y="0"/>
                      <a:ext cx="4782820" cy="2903855"/>
                    </a:xfrm>
                    <a:prstGeom prst="rect">
                      <a:avLst/>
                    </a:prstGeom>
                  </pic:spPr>
                </pic:pic>
              </a:graphicData>
            </a:graphic>
          </wp:inline>
        </w:drawing>
      </w:r>
    </w:p>
    <w:p w14:paraId="44BFDC7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7.确保考勤合同与实名制合同（征管编号对应）为同一份合同；</w:t>
      </w:r>
    </w:p>
    <w:p w14:paraId="7609AC4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4506595" cy="2408555"/>
            <wp:effectExtent l="0" t="0" r="8255" b="10795"/>
            <wp:docPr id="26" name="图片 26" descr="企业端_征管编号_确定提示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企业端_征管编号_确定提示框"/>
                    <pic:cNvPicPr>
                      <a:picLocks noChangeAspect="1"/>
                    </pic:cNvPicPr>
                  </pic:nvPicPr>
                  <pic:blipFill>
                    <a:blip r:embed="rId20"/>
                    <a:srcRect b="27120"/>
                    <a:stretch>
                      <a:fillRect/>
                    </a:stretch>
                  </pic:blipFill>
                  <pic:spPr>
                    <a:xfrm>
                      <a:off x="0" y="0"/>
                      <a:ext cx="4506595" cy="2408555"/>
                    </a:xfrm>
                    <a:prstGeom prst="rect">
                      <a:avLst/>
                    </a:prstGeom>
                  </pic:spPr>
                </pic:pic>
              </a:graphicData>
            </a:graphic>
          </wp:inline>
        </w:drawing>
      </w:r>
    </w:p>
    <w:p w14:paraId="3732025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8.保存成功，即为关联成功。</w:t>
      </w:r>
    </w:p>
    <w:p w14:paraId="3F537C1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5091430" cy="2768600"/>
            <wp:effectExtent l="0" t="0" r="13970" b="12700"/>
            <wp:docPr id="27" name="图片 27" descr="企业端_确定后 保存成功 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端_确定后 保存成功 提示"/>
                    <pic:cNvPicPr>
                      <a:picLocks noChangeAspect="1"/>
                    </pic:cNvPicPr>
                  </pic:nvPicPr>
                  <pic:blipFill>
                    <a:blip r:embed="rId21"/>
                    <a:stretch>
                      <a:fillRect/>
                    </a:stretch>
                  </pic:blipFill>
                  <pic:spPr>
                    <a:xfrm>
                      <a:off x="0" y="0"/>
                      <a:ext cx="5091430" cy="2768600"/>
                    </a:xfrm>
                    <a:prstGeom prst="rect">
                      <a:avLst/>
                    </a:prstGeom>
                  </pic:spPr>
                </pic:pic>
              </a:graphicData>
            </a:graphic>
          </wp:inline>
        </w:drawing>
      </w:r>
    </w:p>
    <w:p w14:paraId="307AFB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注意事项：</w:t>
      </w:r>
    </w:p>
    <w:p w14:paraId="29C679F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1.选择“征管编号”关联后，关联成功的工程将不再在征管编号选择弹框中展示；</w:t>
      </w:r>
    </w:p>
    <w:p w14:paraId="1D5AA7D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1）确定征管编号前：</w:t>
      </w:r>
    </w:p>
    <w:p w14:paraId="4C13080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sz w:val="24"/>
        </w:rPr>
        <w:drawing>
          <wp:inline distT="0" distB="0" distL="114300" distR="114300">
            <wp:extent cx="5280025" cy="3636645"/>
            <wp:effectExtent l="0" t="0" r="15875" b="1905"/>
            <wp:docPr id="28" name="图片 28" descr="企业端_确定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企业端_确定前"/>
                    <pic:cNvPicPr>
                      <a:picLocks noChangeAspect="1"/>
                    </pic:cNvPicPr>
                  </pic:nvPicPr>
                  <pic:blipFill>
                    <a:blip r:embed="rId22"/>
                    <a:stretch>
                      <a:fillRect/>
                    </a:stretch>
                  </pic:blipFill>
                  <pic:spPr>
                    <a:xfrm>
                      <a:off x="0" y="0"/>
                      <a:ext cx="5280025" cy="3636645"/>
                    </a:xfrm>
                    <a:prstGeom prst="rect">
                      <a:avLst/>
                    </a:prstGeom>
                  </pic:spPr>
                </pic:pic>
              </a:graphicData>
            </a:graphic>
          </wp:inline>
        </w:drawing>
      </w:r>
    </w:p>
    <w:p w14:paraId="1E63555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2）确定征管编号后：</w:t>
      </w:r>
    </w:p>
    <w:p w14:paraId="4F389D9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5354955" cy="2919730"/>
            <wp:effectExtent l="0" t="0" r="17145" b="13970"/>
            <wp:docPr id="29" name="图片 29" descr="企业端_原序号3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企业端_原序号3工程"/>
                    <pic:cNvPicPr>
                      <a:picLocks noChangeAspect="1"/>
                    </pic:cNvPicPr>
                  </pic:nvPicPr>
                  <pic:blipFill>
                    <a:blip r:embed="rId23"/>
                    <a:stretch>
                      <a:fillRect/>
                    </a:stretch>
                  </pic:blipFill>
                  <pic:spPr>
                    <a:xfrm>
                      <a:off x="0" y="0"/>
                      <a:ext cx="5354955" cy="2919730"/>
                    </a:xfrm>
                    <a:prstGeom prst="rect">
                      <a:avLst/>
                    </a:prstGeom>
                  </pic:spPr>
                </pic:pic>
              </a:graphicData>
            </a:graphic>
          </wp:inline>
        </w:drawing>
      </w:r>
    </w:p>
    <w:p w14:paraId="03B5E6E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74FF0F6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6.未关联施工总承包或施工总承包缺少征管编号</w:t>
      </w:r>
    </w:p>
    <w:p w14:paraId="5FFB45D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kern w:val="0"/>
          <w:sz w:val="24"/>
        </w:rPr>
        <w:drawing>
          <wp:inline distT="0" distB="0" distL="114300" distR="114300">
            <wp:extent cx="2487295" cy="1823085"/>
            <wp:effectExtent l="0" t="0" r="8255" b="571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24"/>
                    <a:srcRect t="29795" b="36416"/>
                    <a:stretch>
                      <a:fillRect/>
                    </a:stretch>
                  </pic:blipFill>
                  <pic:spPr>
                    <a:xfrm>
                      <a:off x="0" y="0"/>
                      <a:ext cx="2487295" cy="1823085"/>
                    </a:xfrm>
                    <a:prstGeom prst="rect">
                      <a:avLst/>
                    </a:prstGeom>
                    <a:noFill/>
                    <a:ln w="9525">
                      <a:noFill/>
                    </a:ln>
                  </pic:spPr>
                </pic:pic>
              </a:graphicData>
            </a:graphic>
          </wp:inline>
        </w:drawing>
      </w:r>
    </w:p>
    <w:p w14:paraId="6BA214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69192D2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监理方未关联施工方。</w:t>
      </w:r>
    </w:p>
    <w:p w14:paraId="6B429DD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监理关联的施工方未选择征管编号。</w:t>
      </w:r>
    </w:p>
    <w:p w14:paraId="0BA0360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036DC6B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监理关联总包，或者总包关联监理。</w:t>
      </w:r>
    </w:p>
    <w:p w14:paraId="64A933F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1、市场站内关联</w:t>
      </w:r>
    </w:p>
    <w:p w14:paraId="30C9259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操作方式：</w:t>
      </w:r>
    </w:p>
    <w:p w14:paraId="095C6AA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（1）进入考勤模块；</w:t>
      </w:r>
    </w:p>
    <w:p w14:paraId="2E854ED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4895850" cy="3467735"/>
            <wp:effectExtent l="0" t="0" r="0" b="184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4895850" cy="3467735"/>
                    </a:xfrm>
                    <a:prstGeom prst="rect">
                      <a:avLst/>
                    </a:prstGeom>
                    <a:noFill/>
                    <a:ln>
                      <a:noFill/>
                    </a:ln>
                  </pic:spPr>
                </pic:pic>
              </a:graphicData>
            </a:graphic>
          </wp:inline>
        </w:drawing>
      </w:r>
    </w:p>
    <w:p w14:paraId="2246ADE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（2）在“考勤管理”的列表中，每个考勤工程都有一个关联按钮，总包工程是“关联监理”，监理工程是“关联总包”；</w:t>
      </w:r>
    </w:p>
    <w:p w14:paraId="3CAE334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（3）点击关联按钮，弹出可关联工程，点击关联即可；</w:t>
      </w:r>
    </w:p>
    <w:p w14:paraId="3D3CB9C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（4）若搜索不到可关联工程，有以下几种情况：</w:t>
      </w:r>
    </w:p>
    <w:p w14:paraId="1D088A4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a）总包/监理工程是否申请考勤；</w:t>
      </w:r>
    </w:p>
    <w:p w14:paraId="602CD17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b）关联的考勤总包和考勤监理工程对应的项目是否一致。</w:t>
      </w:r>
    </w:p>
    <w:p w14:paraId="6D4F878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2、建委关联</w:t>
      </w:r>
    </w:p>
    <w:p w14:paraId="16F3E3F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操作方式：</w:t>
      </w:r>
    </w:p>
    <w:p w14:paraId="241DA0D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（1）在建委系统中点击合同信息，选择合同种类；</w:t>
      </w:r>
    </w:p>
    <w:p w14:paraId="094EC02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pPr>
      <w:r>
        <w:drawing>
          <wp:inline distT="0" distB="0" distL="114300" distR="114300">
            <wp:extent cx="4559300" cy="2095500"/>
            <wp:effectExtent l="0" t="0" r="1270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6"/>
                    <a:stretch>
                      <a:fillRect/>
                    </a:stretch>
                  </pic:blipFill>
                  <pic:spPr>
                    <a:xfrm>
                      <a:off x="0" y="0"/>
                      <a:ext cx="4559300" cy="2095500"/>
                    </a:xfrm>
                    <a:prstGeom prst="rect">
                      <a:avLst/>
                    </a:prstGeom>
                    <a:noFill/>
                    <a:ln>
                      <a:noFill/>
                    </a:ln>
                  </pic:spPr>
                </pic:pic>
              </a:graphicData>
            </a:graphic>
          </wp:inline>
        </w:drawing>
      </w:r>
    </w:p>
    <w:p w14:paraId="4F07747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lang w:val="en-US" w:eastAsia="zh-CN"/>
        </w:rPr>
      </w:pPr>
      <w:r>
        <w:drawing>
          <wp:inline distT="0" distB="0" distL="114300" distR="114300">
            <wp:extent cx="4032250" cy="1983740"/>
            <wp:effectExtent l="0" t="0" r="635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4032250" cy="1983740"/>
                    </a:xfrm>
                    <a:prstGeom prst="rect">
                      <a:avLst/>
                    </a:prstGeom>
                    <a:noFill/>
                    <a:ln>
                      <a:noFill/>
                    </a:ln>
                  </pic:spPr>
                </pic:pic>
              </a:graphicData>
            </a:graphic>
          </wp:inline>
        </w:drawing>
      </w:r>
    </w:p>
    <w:p w14:paraId="18EB60D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（2）点击查看进入合同详情页面；</w:t>
      </w:r>
    </w:p>
    <w:p w14:paraId="314D482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5039995" cy="12192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039995" cy="1219200"/>
                    </a:xfrm>
                    <a:prstGeom prst="rect">
                      <a:avLst/>
                    </a:prstGeom>
                    <a:noFill/>
                    <a:ln>
                      <a:noFill/>
                    </a:ln>
                  </pic:spPr>
                </pic:pic>
              </a:graphicData>
            </a:graphic>
          </wp:inline>
        </w:drawing>
      </w:r>
    </w:p>
    <w:p w14:paraId="436C6A2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（3）点开关联合同信息编辑关联合同；</w:t>
      </w:r>
    </w:p>
    <w:p w14:paraId="3B28852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4745990" cy="2219960"/>
            <wp:effectExtent l="0" t="0" r="16510" b="889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9"/>
                    <a:stretch>
                      <a:fillRect/>
                    </a:stretch>
                  </pic:blipFill>
                  <pic:spPr>
                    <a:xfrm>
                      <a:off x="0" y="0"/>
                      <a:ext cx="4745990" cy="2219960"/>
                    </a:xfrm>
                    <a:prstGeom prst="rect">
                      <a:avLst/>
                    </a:prstGeom>
                    <a:noFill/>
                    <a:ln>
                      <a:noFill/>
                    </a:ln>
                  </pic:spPr>
                </pic:pic>
              </a:graphicData>
            </a:graphic>
          </wp:inline>
        </w:drawing>
      </w:r>
    </w:p>
    <w:p w14:paraId="1097706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（4）在市场站工程信息上报里点击更新。</w:t>
      </w:r>
    </w:p>
    <w:p w14:paraId="4457AEE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kern w:val="0"/>
          <w:sz w:val="24"/>
        </w:rPr>
        <w:drawing>
          <wp:inline distT="0" distB="0" distL="114300" distR="114300">
            <wp:extent cx="5100320" cy="2117090"/>
            <wp:effectExtent l="0" t="0" r="5080" b="16510"/>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30"/>
                    <a:stretch>
                      <a:fillRect/>
                    </a:stretch>
                  </pic:blipFill>
                  <pic:spPr>
                    <a:xfrm>
                      <a:off x="0" y="0"/>
                      <a:ext cx="5100320" cy="2117090"/>
                    </a:xfrm>
                    <a:prstGeom prst="rect">
                      <a:avLst/>
                    </a:prstGeom>
                    <a:noFill/>
                    <a:ln w="9525">
                      <a:noFill/>
                    </a:ln>
                  </pic:spPr>
                </pic:pic>
              </a:graphicData>
            </a:graphic>
          </wp:inline>
        </w:drawing>
      </w:r>
    </w:p>
    <w:p w14:paraId="41EC85E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若是已关联还是出现此提示，联系施工方关联征管编号，关联步骤按照第五项操作。</w:t>
      </w:r>
    </w:p>
    <w:p w14:paraId="0705303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748034E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7.与省厅合同归集平台项目经理不一致</w:t>
      </w:r>
    </w:p>
    <w:p w14:paraId="49C9F17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sz w:val="24"/>
        </w:rPr>
        <w:drawing>
          <wp:inline distT="0" distB="0" distL="114300" distR="114300">
            <wp:extent cx="2328545" cy="1356360"/>
            <wp:effectExtent l="0" t="0" r="14605" b="15240"/>
            <wp:docPr id="4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256"/>
                    <pic:cNvPicPr>
                      <a:picLocks noChangeAspect="1"/>
                    </pic:cNvPicPr>
                  </pic:nvPicPr>
                  <pic:blipFill>
                    <a:blip r:embed="rId31"/>
                    <a:srcRect t="33430" b="38164"/>
                    <a:stretch>
                      <a:fillRect/>
                    </a:stretch>
                  </pic:blipFill>
                  <pic:spPr>
                    <a:xfrm>
                      <a:off x="0" y="0"/>
                      <a:ext cx="2328545" cy="1356360"/>
                    </a:xfrm>
                    <a:prstGeom prst="rect">
                      <a:avLst/>
                    </a:prstGeom>
                    <a:noFill/>
                    <a:ln w="9525">
                      <a:noFill/>
                    </a:ln>
                  </pic:spPr>
                </pic:pic>
              </a:graphicData>
            </a:graphic>
          </wp:inline>
        </w:drawing>
      </w:r>
    </w:p>
    <w:p w14:paraId="5A1A9BE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3D7B736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1.省平台未更改项目经理。</w:t>
      </w:r>
    </w:p>
    <w:p w14:paraId="324D6CF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2.省平台已更新项目经理，但未及时同步。</w:t>
      </w:r>
    </w:p>
    <w:p w14:paraId="3730AAA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0CB511D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1.在省平台更新项目经理后，在南京市建筑市场监管服务平台-工程信息-工程信息上报进行工程更新。</w:t>
      </w:r>
    </w:p>
    <w:p w14:paraId="366166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2.若是第二种情况，直接进行工程更新即可。</w:t>
      </w:r>
    </w:p>
    <w:p w14:paraId="4CCE1CA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之后在详情的省厅项目部人员中查看人员是否一致，如果一致即可进入考勤。</w:t>
      </w:r>
    </w:p>
    <w:p w14:paraId="16905CE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drawing>
          <wp:inline distT="0" distB="0" distL="114300" distR="114300">
            <wp:extent cx="5340985" cy="846455"/>
            <wp:effectExtent l="0" t="0" r="12065" b="1079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2"/>
                    <a:stretch>
                      <a:fillRect/>
                    </a:stretch>
                  </pic:blipFill>
                  <pic:spPr>
                    <a:xfrm>
                      <a:off x="0" y="0"/>
                      <a:ext cx="5340985" cy="846455"/>
                    </a:xfrm>
                    <a:prstGeom prst="rect">
                      <a:avLst/>
                    </a:prstGeom>
                    <a:noFill/>
                    <a:ln>
                      <a:noFill/>
                    </a:ln>
                  </pic:spPr>
                </pic:pic>
              </a:graphicData>
            </a:graphic>
          </wp:inline>
        </w:drawing>
      </w:r>
    </w:p>
    <w:p w14:paraId="3E0EA3D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p>
    <w:p w14:paraId="72E515B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黑体" w:hAnsi="黑体" w:eastAsia="黑体" w:cs="黑体"/>
          <w:b/>
          <w:bCs/>
          <w:i w:val="0"/>
          <w:iCs w:val="0"/>
          <w:caps w:val="0"/>
          <w:color w:val="000000" w:themeColor="text1"/>
          <w:spacing w:val="0"/>
          <w:kern w:val="0"/>
          <w:sz w:val="30"/>
          <w:szCs w:val="30"/>
          <w:shd w:val="clear"/>
          <w:lang w:val="en-US" w:eastAsia="zh-CN" w:bidi="ar"/>
          <w14:textFill>
            <w14:solidFill>
              <w14:schemeClr w14:val="tx1"/>
            </w14:solidFill>
          </w14:textFill>
        </w:rPr>
        <w:t>8.信息不完整，无法辨别项目经理与中标项目经理是否一致</w:t>
      </w:r>
    </w:p>
    <w:p w14:paraId="3F27495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right="0"/>
        <w:jc w:val="cente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ascii="宋体" w:hAnsi="宋体" w:eastAsia="宋体" w:cs="宋体"/>
          <w:kern w:val="0"/>
          <w:sz w:val="24"/>
        </w:rPr>
        <w:drawing>
          <wp:inline distT="0" distB="0" distL="114300" distR="114300">
            <wp:extent cx="1981835" cy="1593215"/>
            <wp:effectExtent l="0" t="0" r="0" b="0"/>
            <wp:docPr id="4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56"/>
                    <pic:cNvPicPr>
                      <a:picLocks noChangeAspect="1"/>
                    </pic:cNvPicPr>
                  </pic:nvPicPr>
                  <pic:blipFill>
                    <a:blip r:embed="rId33"/>
                    <a:srcRect t="27594" b="31536"/>
                    <a:stretch>
                      <a:fillRect/>
                    </a:stretch>
                  </pic:blipFill>
                  <pic:spPr>
                    <a:xfrm>
                      <a:off x="0" y="0"/>
                      <a:ext cx="1981835" cy="1593215"/>
                    </a:xfrm>
                    <a:prstGeom prst="rect">
                      <a:avLst/>
                    </a:prstGeom>
                    <a:noFill/>
                    <a:ln w="9525">
                      <a:noFill/>
                    </a:ln>
                  </pic:spPr>
                </pic:pic>
              </a:graphicData>
            </a:graphic>
          </wp:inline>
        </w:drawing>
      </w:r>
    </w:p>
    <w:p w14:paraId="4E5C56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出现原因：</w:t>
      </w:r>
    </w:p>
    <w:p w14:paraId="24B9EC9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合同相关信息不完整。</w:t>
      </w:r>
    </w:p>
    <w:p w14:paraId="70867B9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2" w:firstLineChars="200"/>
        <w:jc w:val="both"/>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30"/>
          <w:szCs w:val="30"/>
          <w:shd w:val="clear"/>
          <w:lang w:val="en-US" w:eastAsia="zh-CN" w:bidi="ar"/>
          <w14:textFill>
            <w14:solidFill>
              <w14:schemeClr w14:val="tx1"/>
            </w14:solidFill>
          </w14:textFill>
        </w:rPr>
        <w:t>处理方法：</w:t>
      </w:r>
    </w:p>
    <w:p w14:paraId="34CA5F2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1.联系工程信息、宁勤绩（市场科）群中的市场科，按照要求完善资料。</w:t>
      </w:r>
    </w:p>
    <w:p w14:paraId="5A55AA6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00" w:firstLineChars="200"/>
        <w:jc w:val="both"/>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0"/>
          <w:szCs w:val="30"/>
          <w:shd w:val="clear"/>
          <w:lang w:val="en-US" w:eastAsia="zh-CN" w:bidi="ar"/>
          <w14:textFill>
            <w14:solidFill>
              <w14:schemeClr w14:val="tx1"/>
            </w14:solidFill>
          </w14:textFill>
        </w:rPr>
        <w:t>2.完善后，在工程信息上报中点击更新工程。</w:t>
      </w:r>
    </w:p>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702363"/>
    <w:rsid w:val="03CC3F79"/>
    <w:rsid w:val="04893C18"/>
    <w:rsid w:val="07055FEA"/>
    <w:rsid w:val="0F357E7F"/>
    <w:rsid w:val="114C405E"/>
    <w:rsid w:val="17A804E8"/>
    <w:rsid w:val="18E4419F"/>
    <w:rsid w:val="20B02C81"/>
    <w:rsid w:val="23152DEF"/>
    <w:rsid w:val="262777F4"/>
    <w:rsid w:val="27495A23"/>
    <w:rsid w:val="2A021BF3"/>
    <w:rsid w:val="35A86672"/>
    <w:rsid w:val="41596145"/>
    <w:rsid w:val="42CE2491"/>
    <w:rsid w:val="4365448B"/>
    <w:rsid w:val="4422633B"/>
    <w:rsid w:val="44613C8E"/>
    <w:rsid w:val="44BD176A"/>
    <w:rsid w:val="464A1BF5"/>
    <w:rsid w:val="469043B7"/>
    <w:rsid w:val="4A900CBD"/>
    <w:rsid w:val="4CE21C1B"/>
    <w:rsid w:val="4D500131"/>
    <w:rsid w:val="4EFC390E"/>
    <w:rsid w:val="533A281D"/>
    <w:rsid w:val="53A414A2"/>
    <w:rsid w:val="583B140A"/>
    <w:rsid w:val="59702363"/>
    <w:rsid w:val="5D431D2B"/>
    <w:rsid w:val="5EBE5073"/>
    <w:rsid w:val="61E805AF"/>
    <w:rsid w:val="695906CD"/>
    <w:rsid w:val="6A9423C1"/>
    <w:rsid w:val="6C5A499B"/>
    <w:rsid w:val="6C836003"/>
    <w:rsid w:val="6DF178A7"/>
    <w:rsid w:val="773329B9"/>
    <w:rsid w:val="78365861"/>
    <w:rsid w:val="78D5544C"/>
    <w:rsid w:val="7A244B63"/>
    <w:rsid w:val="7AEF2EE6"/>
    <w:rsid w:val="7E3F3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5892</Words>
  <Characters>6086</Characters>
  <Lines>0</Lines>
  <Paragraphs>0</Paragraphs>
  <TotalTime>12</TotalTime>
  <ScaleCrop>false</ScaleCrop>
  <LinksUpToDate>false</LinksUpToDate>
  <CharactersWithSpaces>6086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2025-12-22T08:31:00Z</dcterms:created>
  <dc:creator>朱思琪</dc:creator>
  <cp:lastModifiedBy>朱思琪</cp:lastModifiedBy>
  <cp:lastPrinted>2025-12-23T01:27:00Z</cp:lastPrinted>
  <dcterms:modified xsi:type="dcterms:W3CDTF">2025-12-24T01:31:57Z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F17C1B94D7484CBAB510B91C41479009_11</vt:lpwstr>
  </property>
  <property fmtid="{D5CDD505-2E9C-101B-9397-08002B2CF9AE}" pid="4" name="KSOTemplateDocerSaveRecord">
    <vt:lpwstr>eyJoZGlkIjoiNmUxYzA2NDE1NGFhYjg1NGY3Zjg3MDYwMzIwYjliMjUiLCJ1c2VySWQiOiIxNTM0MTIxODU2In0=</vt:lpwstr>
  </property>
</Properties>
</file>