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FF" w:rsidRPr="00957CFF" w:rsidRDefault="00957CFF" w:rsidP="00957CFF">
      <w:pPr>
        <w:widowControl/>
        <w:spacing w:before="100" w:beforeAutospacing="1" w:after="100" w:afterAutospacing="1"/>
        <w:jc w:val="center"/>
        <w:rPr>
          <w:rFonts w:ascii="宋体" w:eastAsia="宋体" w:hAnsi="宋体" w:cs="宋体"/>
          <w:b/>
          <w:bCs/>
          <w:kern w:val="0"/>
          <w:sz w:val="24"/>
          <w:szCs w:val="24"/>
        </w:rPr>
      </w:pPr>
      <w:r w:rsidRPr="00957CFF">
        <w:rPr>
          <w:rFonts w:ascii="宋体" w:eastAsia="宋体" w:hAnsi="宋体" w:cs="宋体"/>
          <w:b/>
          <w:bCs/>
          <w:kern w:val="0"/>
          <w:sz w:val="24"/>
          <w:szCs w:val="24"/>
        </w:rPr>
        <w:t>省人力资源和社会保障厅 省住房和城乡建设厅关于开展2014年二级建造师执业资格考评工作的通知</w:t>
      </w:r>
    </w:p>
    <w:p w:rsidR="00957CFF" w:rsidRPr="00957CFF" w:rsidRDefault="00957CFF" w:rsidP="00957CFF">
      <w:pPr>
        <w:widowControl/>
        <w:spacing w:line="384" w:lineRule="auto"/>
        <w:jc w:val="center"/>
        <w:rPr>
          <w:rFonts w:ascii="宋体" w:eastAsia="宋体" w:hAnsi="宋体" w:cs="宋体"/>
          <w:kern w:val="0"/>
          <w:sz w:val="24"/>
          <w:szCs w:val="21"/>
        </w:rPr>
      </w:pPr>
      <w:r w:rsidRPr="00957CFF">
        <w:rPr>
          <w:rFonts w:ascii="宋体" w:eastAsia="宋体" w:hAnsi="宋体" w:cs="宋体" w:hint="eastAsia"/>
          <w:kern w:val="0"/>
          <w:sz w:val="24"/>
          <w:szCs w:val="21"/>
        </w:rPr>
        <w:t>苏</w:t>
      </w:r>
      <w:proofErr w:type="gramStart"/>
      <w:r w:rsidRPr="00957CFF">
        <w:rPr>
          <w:rFonts w:ascii="宋体" w:eastAsia="宋体" w:hAnsi="宋体" w:cs="宋体" w:hint="eastAsia"/>
          <w:kern w:val="0"/>
          <w:sz w:val="24"/>
          <w:szCs w:val="21"/>
        </w:rPr>
        <w:t>人社发</w:t>
      </w:r>
      <w:proofErr w:type="gramEnd"/>
      <w:r w:rsidRPr="00957CFF">
        <w:rPr>
          <w:rFonts w:ascii="宋体" w:eastAsia="宋体" w:hAnsi="宋体" w:cs="宋体" w:hint="eastAsia"/>
          <w:kern w:val="0"/>
          <w:sz w:val="24"/>
          <w:szCs w:val="21"/>
        </w:rPr>
        <w:t>〔2014〕407号</w:t>
      </w:r>
    </w:p>
    <w:p w:rsidR="00957CFF" w:rsidRPr="00957CFF" w:rsidRDefault="00957CFF" w:rsidP="00957CFF">
      <w:pPr>
        <w:widowControl/>
        <w:spacing w:line="384" w:lineRule="auto"/>
        <w:ind w:firstLineChars="800" w:firstLine="1920"/>
        <w:jc w:val="left"/>
        <w:rPr>
          <w:rFonts w:ascii="宋体" w:eastAsia="宋体" w:hAnsi="宋体" w:cs="宋体" w:hint="eastAsia"/>
          <w:kern w:val="0"/>
          <w:sz w:val="24"/>
          <w:szCs w:val="21"/>
        </w:rPr>
      </w:pPr>
    </w:p>
    <w:p w:rsidR="00957CFF" w:rsidRPr="00957CFF" w:rsidRDefault="00957CFF" w:rsidP="00957CFF">
      <w:pPr>
        <w:widowControl/>
        <w:spacing w:line="384" w:lineRule="auto"/>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各市人力资源社会保障局、建设局（委），省有关单位：</w:t>
      </w:r>
    </w:p>
    <w:p w:rsidR="00957CFF" w:rsidRPr="00957CFF" w:rsidRDefault="00957CFF" w:rsidP="00957CFF">
      <w:pPr>
        <w:widowControl/>
        <w:spacing w:line="384" w:lineRule="auto"/>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根据省人力资源社会保障厅、省住房城乡建设厅《关于2014年度二级建造师执业资格考试工作有关事项的通知》（苏</w:t>
      </w:r>
      <w:proofErr w:type="gramStart"/>
      <w:r w:rsidRPr="00957CFF">
        <w:rPr>
          <w:rFonts w:ascii="宋体" w:eastAsia="宋体" w:hAnsi="宋体" w:cs="宋体" w:hint="eastAsia"/>
          <w:kern w:val="0"/>
          <w:sz w:val="24"/>
          <w:szCs w:val="21"/>
        </w:rPr>
        <w:t>人社发</w:t>
      </w:r>
      <w:proofErr w:type="gramEnd"/>
      <w:r w:rsidRPr="00957CFF">
        <w:rPr>
          <w:rFonts w:ascii="宋体" w:eastAsia="宋体" w:hAnsi="宋体" w:cs="宋体" w:hint="eastAsia"/>
          <w:kern w:val="0"/>
          <w:sz w:val="24"/>
          <w:szCs w:val="21"/>
        </w:rPr>
        <w:t xml:space="preserve">〔2013〕446 号）有关精神，现将二级建造师执业资格考评工作的有关事项通知如下： </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一、考评组织</w:t>
      </w:r>
    </w:p>
    <w:p w:rsidR="00957CFF" w:rsidRPr="00957CFF" w:rsidRDefault="00957CFF" w:rsidP="00957CFF">
      <w:pPr>
        <w:widowControl/>
        <w:spacing w:line="360" w:lineRule="auto"/>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省人力资源社会保障厅、省住房城乡建设厅共同负责全省二级建造师执业资格考评的组织领导工作。省住房城乡建设厅执业资格考试与注册中心协助做好考评相关工作。</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 xml:space="preserve">二、考评申报条件 </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长期从事建设工程项目管理或施工管理工作，经验丰富，业绩突出，遵守国家各项法律法规，恪守职业道德，</w:t>
      </w:r>
      <w:proofErr w:type="gramStart"/>
      <w:r w:rsidRPr="00957CFF">
        <w:rPr>
          <w:rFonts w:ascii="宋体" w:eastAsia="宋体" w:hAnsi="宋体" w:cs="宋体" w:hint="eastAsia"/>
          <w:kern w:val="0"/>
          <w:sz w:val="24"/>
          <w:szCs w:val="21"/>
        </w:rPr>
        <w:t>无工程</w:t>
      </w:r>
      <w:proofErr w:type="gramEnd"/>
      <w:r w:rsidRPr="00957CFF">
        <w:rPr>
          <w:rFonts w:ascii="宋体" w:eastAsia="宋体" w:hAnsi="宋体" w:cs="宋体" w:hint="eastAsia"/>
          <w:kern w:val="0"/>
          <w:sz w:val="24"/>
          <w:szCs w:val="21"/>
        </w:rPr>
        <w:t>质量安全责任事故，身体健康，已取得助理级及以上专业技术资格，持有建设行政部门颁发的《江苏省建筑业企业小型项目管理师证书》或《建造师临时执业证书》，并符合下列条件（一）、条件（二）和条件（三）的在职（在编）在岗人员，可申请参加二级建造师执业资格中与本人所考《专业工程管理与实务》相符的专业考评。</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（一）资历</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担任过施工项目负责人，累计从事建设工程项目管理或施工管理工作15年以上。</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（二）考试成绩</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2014年度二级建造师执业资格考试的《专业工程管理与实务》成绩达到   55分。</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lastRenderedPageBreak/>
        <w:t xml:space="preserve">（三）业绩 </w:t>
      </w:r>
    </w:p>
    <w:p w:rsidR="00957CFF" w:rsidRPr="00957CFF" w:rsidRDefault="00957CFF" w:rsidP="00957CFF">
      <w:pPr>
        <w:widowControl/>
        <w:spacing w:line="384" w:lineRule="auto"/>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满足下列条件之一，其中1项中型工程可以与2项小型工程相互替代。</w:t>
      </w:r>
    </w:p>
    <w:p w:rsidR="00957CFF" w:rsidRPr="00957CFF" w:rsidRDefault="00957CFF" w:rsidP="00957CFF">
      <w:pPr>
        <w:widowControl/>
        <w:spacing w:line="384" w:lineRule="auto"/>
        <w:ind w:firstLineChars="200" w:firstLine="480"/>
        <w:jc w:val="left"/>
        <w:rPr>
          <w:rFonts w:ascii="宋体" w:eastAsia="宋体" w:hAnsi="宋体" w:cs="宋体" w:hint="eastAsia"/>
          <w:bCs/>
          <w:kern w:val="0"/>
          <w:sz w:val="24"/>
          <w:szCs w:val="21"/>
        </w:rPr>
      </w:pPr>
      <w:r w:rsidRPr="00957CFF">
        <w:rPr>
          <w:rFonts w:ascii="宋体" w:eastAsia="宋体" w:hAnsi="宋体" w:cs="宋体" w:hint="eastAsia"/>
          <w:kern w:val="0"/>
          <w:sz w:val="24"/>
          <w:szCs w:val="21"/>
        </w:rPr>
        <w:t>1、完成中型工程(</w:t>
      </w:r>
      <w:r w:rsidRPr="00957CFF">
        <w:rPr>
          <w:rFonts w:ascii="宋体" w:eastAsia="宋体" w:hAnsi="宋体" w:cs="宋体" w:hint="eastAsia"/>
          <w:bCs/>
          <w:kern w:val="0"/>
          <w:sz w:val="24"/>
          <w:szCs w:val="21"/>
        </w:rPr>
        <w:t>工程规模标准可登陆江苏建筑业网建造师专</w:t>
      </w:r>
      <w:proofErr w:type="gramStart"/>
      <w:r w:rsidRPr="00957CFF">
        <w:rPr>
          <w:rFonts w:ascii="宋体" w:eastAsia="宋体" w:hAnsi="宋体" w:cs="宋体" w:hint="eastAsia"/>
          <w:bCs/>
          <w:kern w:val="0"/>
          <w:sz w:val="24"/>
          <w:szCs w:val="21"/>
        </w:rPr>
        <w:t>栏相关</w:t>
      </w:r>
      <w:proofErr w:type="gramEnd"/>
      <w:r w:rsidRPr="00957CFF">
        <w:rPr>
          <w:rFonts w:ascii="宋体" w:eastAsia="宋体" w:hAnsi="宋体" w:cs="宋体" w:hint="eastAsia"/>
          <w:bCs/>
          <w:kern w:val="0"/>
          <w:sz w:val="24"/>
          <w:szCs w:val="21"/>
        </w:rPr>
        <w:t>政策法规栏目查询</w:t>
      </w:r>
      <w:r w:rsidRPr="00957CFF">
        <w:rPr>
          <w:rFonts w:ascii="宋体" w:eastAsia="宋体" w:hAnsi="宋体" w:cs="宋体" w:hint="eastAsia"/>
          <w:kern w:val="0"/>
          <w:sz w:val="24"/>
          <w:szCs w:val="21"/>
        </w:rPr>
        <w:t>，下同) 施工总承包2项。</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2、完成中型工程施工承包4项。</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3、完成小型工程（符合相应标准上限50%以上）施工总承包4项。</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4、完成小型工程（符合相应标准上限50%以上）施工承包8项。</w:t>
      </w:r>
    </w:p>
    <w:p w:rsidR="00957CFF" w:rsidRPr="00957CFF" w:rsidRDefault="00957CFF" w:rsidP="00957CFF">
      <w:pPr>
        <w:widowControl/>
        <w:spacing w:line="580" w:lineRule="exact"/>
        <w:ind w:firstLineChars="250" w:firstLine="60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三、申报材料</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（一）各市人力资源社会保障和建设行政主管部门、或者省属企事业单位主管厅（局）的人事部门出具的推荐意见函及申报人员汇总表。</w:t>
      </w:r>
    </w:p>
    <w:p w:rsidR="00957CFF" w:rsidRPr="00957CFF" w:rsidRDefault="00957CFF" w:rsidP="00957CFF">
      <w:pPr>
        <w:widowControl/>
        <w:spacing w:line="360" w:lineRule="auto"/>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（二）《二级建造师执业资格考评申报表》一式两份（见附件）。</w:t>
      </w:r>
    </w:p>
    <w:p w:rsidR="00957CFF" w:rsidRPr="00957CFF" w:rsidRDefault="00957CFF" w:rsidP="00957CFF">
      <w:pPr>
        <w:widowControl/>
        <w:spacing w:line="360" w:lineRule="auto"/>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三）本人居民身份证、专业技术资格证书、《江苏省建筑业企业小型项目管理师证书》或《建造师临时执业证书》、技术（项目）负责人聘书或任命文件、所在单位出具的职业道德和工作资历证明、劳动（聘用）合同和缴纳社会保险证明等相关材料的复印件。</w:t>
      </w:r>
    </w:p>
    <w:p w:rsidR="00957CFF" w:rsidRPr="00957CFF" w:rsidRDefault="00957CFF" w:rsidP="00957CFF">
      <w:pPr>
        <w:widowControl/>
        <w:spacing w:line="56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（四）建设工程业绩证明。</w:t>
      </w:r>
    </w:p>
    <w:p w:rsidR="00957CFF" w:rsidRPr="00957CFF" w:rsidRDefault="00957CFF" w:rsidP="00957CFF">
      <w:pPr>
        <w:widowControl/>
        <w:spacing w:line="560" w:lineRule="exact"/>
        <w:ind w:firstLineChars="200" w:firstLine="482"/>
        <w:jc w:val="left"/>
        <w:rPr>
          <w:rFonts w:ascii="宋体" w:eastAsia="宋体" w:hAnsi="宋体" w:cs="宋体" w:hint="eastAsia"/>
          <w:kern w:val="0"/>
          <w:sz w:val="24"/>
          <w:szCs w:val="21"/>
        </w:rPr>
      </w:pPr>
      <w:r w:rsidRPr="00957CFF">
        <w:rPr>
          <w:rFonts w:ascii="宋体" w:eastAsia="宋体" w:hAnsi="宋体" w:cs="宋体" w:hint="eastAsia"/>
          <w:b/>
          <w:kern w:val="0"/>
          <w:sz w:val="24"/>
          <w:szCs w:val="21"/>
        </w:rPr>
        <w:t>主持完成工程项目的，提供下列三项材料：</w:t>
      </w:r>
      <w:r w:rsidRPr="00957CFF">
        <w:rPr>
          <w:rFonts w:ascii="宋体" w:eastAsia="宋体" w:hAnsi="宋体" w:cs="宋体" w:hint="eastAsia"/>
          <w:kern w:val="0"/>
          <w:sz w:val="24"/>
          <w:szCs w:val="21"/>
        </w:rPr>
        <w:t>中标通知书或直接发包通知书；建设工程施工合同中反映工程概况、规模、开竣工时间、合同双方用印和签字的页面；工程竣工验收报告。</w:t>
      </w:r>
    </w:p>
    <w:p w:rsidR="00957CFF" w:rsidRPr="00957CFF" w:rsidRDefault="00957CFF" w:rsidP="00957CFF">
      <w:pPr>
        <w:widowControl/>
        <w:spacing w:line="560" w:lineRule="exact"/>
        <w:ind w:firstLineChars="200" w:firstLine="482"/>
        <w:jc w:val="left"/>
        <w:rPr>
          <w:rFonts w:ascii="宋体" w:eastAsia="宋体" w:hAnsi="宋体" w:cs="宋体" w:hint="eastAsia"/>
          <w:kern w:val="0"/>
          <w:sz w:val="24"/>
          <w:szCs w:val="21"/>
        </w:rPr>
      </w:pPr>
      <w:r w:rsidRPr="00957CFF">
        <w:rPr>
          <w:rFonts w:ascii="宋体" w:eastAsia="宋体" w:hAnsi="宋体" w:cs="宋体" w:hint="eastAsia"/>
          <w:b/>
          <w:kern w:val="0"/>
          <w:sz w:val="24"/>
          <w:szCs w:val="21"/>
        </w:rPr>
        <w:t>参与完成工程项目的项目副经理，除提供上述三项外还需提供以下七项中能够体现申请人工作业绩的三项材料：</w:t>
      </w:r>
      <w:r w:rsidRPr="00957CFF">
        <w:rPr>
          <w:rFonts w:ascii="宋体" w:eastAsia="宋体" w:hAnsi="宋体" w:cs="宋体" w:hint="eastAsia"/>
          <w:kern w:val="0"/>
          <w:sz w:val="24"/>
          <w:szCs w:val="21"/>
        </w:rPr>
        <w:t>图纸会审签字记录；隐蔽工程验收签字记录；项目监理部或建设单位或施工单位的周例会、月例会记录；项目监理部或建设单位下发的工程会议纪要；分部工程质量验收记录；工程技术核定单；工程签证。</w:t>
      </w:r>
    </w:p>
    <w:p w:rsidR="00957CFF" w:rsidRPr="00957CFF" w:rsidRDefault="00957CFF" w:rsidP="00957CFF">
      <w:pPr>
        <w:widowControl/>
        <w:spacing w:line="360" w:lineRule="auto"/>
        <w:ind w:firstLineChars="150" w:firstLine="36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（五）申报人员汇总表和个人考评申报表应在网上填报相关信息后通过“江苏建筑业监管信息平台”自动生成打印。</w:t>
      </w:r>
    </w:p>
    <w:p w:rsidR="00957CFF" w:rsidRPr="00957CFF" w:rsidRDefault="00957CFF" w:rsidP="00957CFF">
      <w:pPr>
        <w:widowControl/>
        <w:spacing w:line="580" w:lineRule="exact"/>
        <w:ind w:firstLineChars="250" w:firstLine="60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lastRenderedPageBreak/>
        <w:t>四、考评程序</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（一）符合考评条件的人员可向所在单位提出申请，经单位审核同意后，由所在单位向工商注册所在地的省辖市建设行政主管部门推荐并递交申报材料。</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二）各市人力资源社会保障和建设行政主管部门共同对本地区申报人员的各类证书及相关证明材料原件进行审查，重点核实其业绩的真实性，并在《二级建造师执业资格考评申报表》相应栏目中签署意见并加盖印章后，将推荐人员名单汇总报送省住房城乡建设厅。</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（三）省人力资源社会保障厅、省住房城乡建设厅组织有关专家对全省推荐人员进行审核评价，并将专家审核评价结果和</w:t>
      </w:r>
      <w:proofErr w:type="gramStart"/>
      <w:r w:rsidRPr="00957CFF">
        <w:rPr>
          <w:rFonts w:ascii="宋体" w:eastAsia="宋体" w:hAnsi="宋体" w:cs="宋体" w:hint="eastAsia"/>
          <w:kern w:val="0"/>
          <w:sz w:val="24"/>
          <w:szCs w:val="21"/>
        </w:rPr>
        <w:t>拟考评</w:t>
      </w:r>
      <w:proofErr w:type="gramEnd"/>
      <w:r w:rsidRPr="00957CFF">
        <w:rPr>
          <w:rFonts w:ascii="宋体" w:eastAsia="宋体" w:hAnsi="宋体" w:cs="宋体" w:hint="eastAsia"/>
          <w:kern w:val="0"/>
          <w:sz w:val="24"/>
          <w:szCs w:val="21"/>
        </w:rPr>
        <w:t>合格人员进行为期5个工作日的公示。经公示无异议，由省人力资源社会保障厅、省住房城乡建设厅批准后，公布取得二级建造师执业资格人员的名单并颁发证书。</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 五、考评申报日期及要求</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（一）各市、各有关部门应于2015年1月10日前完成考评申报工作，并将全部人员的材料报送省住房城乡建设厅，联系人：王鹏、龚自立，025-51868915、51868912；网上申报技术支持电话：025-51868272、51868275。</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（二）已经取得建造师执业资格证书、现在公务员岗位或者现役军人岗位工作的人员，均不在申报范围。</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三）各地、各有关部门要切实加强领导，坚持标准，严格要求，认真按程序做好申报、审查等各环节工作。凡不认真把关或者弄虚作假的，一经发现，停止该地区或者单位的申报权和取消个人申报的资格，并依据相应的法律和有关规定，对直接负责的主管人员和其他直接责任人员进行处理。</w:t>
      </w: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p>
    <w:p w:rsidR="00957CFF" w:rsidRPr="00957CFF" w:rsidRDefault="00957CFF" w:rsidP="00957CFF">
      <w:pPr>
        <w:widowControl/>
        <w:spacing w:line="580" w:lineRule="exact"/>
        <w:ind w:firstLineChars="200" w:firstLine="480"/>
        <w:jc w:val="left"/>
        <w:rPr>
          <w:rFonts w:ascii="宋体" w:eastAsia="宋体" w:hAnsi="宋体" w:cs="宋体" w:hint="eastAsia"/>
          <w:kern w:val="0"/>
          <w:sz w:val="24"/>
          <w:szCs w:val="21"/>
        </w:rPr>
      </w:pPr>
      <w:r w:rsidRPr="00957CFF">
        <w:rPr>
          <w:rFonts w:ascii="宋体" w:eastAsia="宋体" w:hAnsi="宋体" w:cs="宋体" w:hint="eastAsia"/>
          <w:kern w:val="0"/>
          <w:sz w:val="24"/>
          <w:szCs w:val="21"/>
        </w:rPr>
        <w:t>附件：二级建造师执业资格考评申报表</w:t>
      </w:r>
    </w:p>
    <w:p w:rsidR="00957CFF" w:rsidRPr="00957CFF" w:rsidRDefault="00957CFF" w:rsidP="00957CFF">
      <w:pPr>
        <w:widowControl/>
        <w:spacing w:line="580" w:lineRule="exact"/>
        <w:jc w:val="left"/>
        <w:rPr>
          <w:rFonts w:ascii="宋体" w:eastAsia="宋体" w:hAnsi="宋体" w:cs="宋体" w:hint="eastAsia"/>
          <w:kern w:val="0"/>
          <w:sz w:val="24"/>
          <w:szCs w:val="21"/>
        </w:rPr>
      </w:pPr>
    </w:p>
    <w:p w:rsidR="00957CFF" w:rsidRPr="00957CFF" w:rsidRDefault="00957CFF" w:rsidP="00957CFF">
      <w:pPr>
        <w:widowControl/>
        <w:spacing w:line="384" w:lineRule="auto"/>
        <w:jc w:val="left"/>
        <w:rPr>
          <w:rFonts w:ascii="仿宋_GB2312" w:eastAsia="仿宋_GB2312" w:hAnsi="宋体" w:cs="宋体" w:hint="eastAsia"/>
          <w:color w:val="000000"/>
          <w:kern w:val="0"/>
          <w:sz w:val="24"/>
          <w:szCs w:val="21"/>
        </w:rPr>
      </w:pPr>
    </w:p>
    <w:p w:rsidR="00957CFF" w:rsidRPr="00957CFF" w:rsidRDefault="00957CFF" w:rsidP="00957CFF">
      <w:pPr>
        <w:widowControl/>
        <w:spacing w:line="384" w:lineRule="auto"/>
        <w:jc w:val="right"/>
        <w:rPr>
          <w:rFonts w:ascii="宋体" w:eastAsia="宋体" w:hAnsi="宋体" w:cs="宋体" w:hint="eastAsia"/>
          <w:color w:val="000000"/>
          <w:kern w:val="0"/>
          <w:sz w:val="24"/>
          <w:szCs w:val="21"/>
        </w:rPr>
      </w:pPr>
      <w:r w:rsidRPr="00957CFF">
        <w:rPr>
          <w:rFonts w:ascii="宋体" w:eastAsia="宋体" w:hAnsi="宋体" w:cs="宋体" w:hint="eastAsia"/>
          <w:color w:val="000000"/>
          <w:kern w:val="0"/>
          <w:sz w:val="24"/>
          <w:szCs w:val="21"/>
        </w:rPr>
        <w:t>江苏省人力资源和社会保障厅   江苏省住房和城乡建设厅</w:t>
      </w:r>
    </w:p>
    <w:p w:rsidR="00957CFF" w:rsidRPr="00957CFF" w:rsidRDefault="00957CFF" w:rsidP="00957CFF">
      <w:pPr>
        <w:widowControl/>
        <w:spacing w:line="384" w:lineRule="auto"/>
        <w:jc w:val="right"/>
        <w:rPr>
          <w:rFonts w:ascii="宋体" w:eastAsia="宋体" w:hAnsi="宋体" w:cs="宋体" w:hint="eastAsia"/>
          <w:color w:val="000000"/>
          <w:kern w:val="0"/>
          <w:sz w:val="24"/>
          <w:szCs w:val="21"/>
        </w:rPr>
      </w:pPr>
      <w:r w:rsidRPr="00957CFF">
        <w:rPr>
          <w:rFonts w:ascii="宋体" w:eastAsia="宋体" w:hAnsi="宋体" w:cs="宋体" w:hint="eastAsia"/>
          <w:color w:val="000000"/>
          <w:kern w:val="0"/>
          <w:sz w:val="24"/>
          <w:szCs w:val="21"/>
        </w:rPr>
        <w:t xml:space="preserve">  </w:t>
      </w:r>
      <w:bookmarkStart w:id="0" w:name="_GoBack"/>
      <w:bookmarkEnd w:id="0"/>
      <w:r w:rsidRPr="00957CFF">
        <w:rPr>
          <w:rFonts w:ascii="宋体" w:eastAsia="宋体" w:hAnsi="宋体" w:cs="宋体" w:hint="eastAsia"/>
          <w:color w:val="000000"/>
          <w:kern w:val="0"/>
          <w:sz w:val="24"/>
          <w:szCs w:val="21"/>
        </w:rPr>
        <w:t xml:space="preserve">                        2014年12月15日</w:t>
      </w:r>
    </w:p>
    <w:p w:rsidR="00957CFF" w:rsidRPr="00957CFF" w:rsidRDefault="00957CFF" w:rsidP="00957CFF">
      <w:pPr>
        <w:widowControl/>
        <w:spacing w:line="384" w:lineRule="auto"/>
        <w:jc w:val="left"/>
        <w:rPr>
          <w:rFonts w:ascii="仿宋_GB2312" w:eastAsia="仿宋_GB2312" w:hAnsi="宋体" w:cs="宋体" w:hint="eastAsia"/>
          <w:color w:val="000000"/>
          <w:kern w:val="0"/>
          <w:sz w:val="24"/>
          <w:szCs w:val="21"/>
        </w:rPr>
      </w:pPr>
    </w:p>
    <w:p w:rsidR="00957CFF" w:rsidRPr="00957CFF" w:rsidRDefault="00957CFF" w:rsidP="00957CFF">
      <w:pPr>
        <w:widowControl/>
        <w:spacing w:line="384" w:lineRule="auto"/>
        <w:jc w:val="left"/>
        <w:rPr>
          <w:rFonts w:ascii="仿宋_GB2312" w:eastAsia="仿宋_GB2312" w:hAnsi="宋体" w:cs="宋体" w:hint="eastAsia"/>
          <w:color w:val="000000"/>
          <w:kern w:val="0"/>
          <w:sz w:val="24"/>
          <w:szCs w:val="21"/>
        </w:rPr>
      </w:pPr>
    </w:p>
    <w:p w:rsidR="00957CFF" w:rsidRPr="00957CFF" w:rsidRDefault="00957CFF" w:rsidP="00957CFF">
      <w:pPr>
        <w:widowControl/>
        <w:spacing w:line="384" w:lineRule="auto"/>
        <w:jc w:val="left"/>
        <w:rPr>
          <w:rFonts w:ascii="仿宋_GB2312" w:eastAsia="仿宋_GB2312" w:hAnsi="宋体" w:cs="宋体" w:hint="eastAsia"/>
          <w:color w:val="000000"/>
          <w:kern w:val="0"/>
          <w:sz w:val="24"/>
          <w:szCs w:val="21"/>
        </w:rPr>
      </w:pPr>
    </w:p>
    <w:p w:rsidR="00957CFF" w:rsidRPr="00957CFF" w:rsidRDefault="00957CFF" w:rsidP="00957CFF">
      <w:pPr>
        <w:widowControl/>
        <w:spacing w:line="384" w:lineRule="auto"/>
        <w:jc w:val="left"/>
        <w:rPr>
          <w:rFonts w:ascii="仿宋_GB2312" w:eastAsia="仿宋_GB2312" w:hAnsi="宋体" w:cs="宋体" w:hint="eastAsia"/>
          <w:color w:val="000000"/>
          <w:kern w:val="0"/>
          <w:sz w:val="24"/>
          <w:szCs w:val="21"/>
        </w:rPr>
      </w:pPr>
    </w:p>
    <w:p w:rsidR="00957CFF" w:rsidRPr="00957CFF" w:rsidRDefault="00957CFF" w:rsidP="00957CFF">
      <w:pPr>
        <w:widowControl/>
        <w:spacing w:line="384" w:lineRule="auto"/>
        <w:jc w:val="left"/>
        <w:rPr>
          <w:rFonts w:ascii="仿宋_GB2312" w:eastAsia="仿宋_GB2312" w:hAnsi="宋体" w:cs="宋体" w:hint="eastAsia"/>
          <w:color w:val="000000"/>
          <w:kern w:val="0"/>
          <w:sz w:val="24"/>
          <w:szCs w:val="21"/>
        </w:rPr>
      </w:pPr>
    </w:p>
    <w:p w:rsidR="00957CFF" w:rsidRPr="00957CFF" w:rsidRDefault="00957CFF" w:rsidP="00957CFF">
      <w:pPr>
        <w:widowControl/>
        <w:spacing w:line="384" w:lineRule="auto"/>
        <w:jc w:val="left"/>
        <w:rPr>
          <w:rFonts w:ascii="宋体" w:eastAsia="宋体" w:hAnsi="宋体" w:cs="宋体" w:hint="eastAsia"/>
          <w:color w:val="000000"/>
          <w:kern w:val="0"/>
          <w:sz w:val="24"/>
          <w:szCs w:val="21"/>
        </w:rPr>
      </w:pPr>
      <w:r w:rsidRPr="00957CFF">
        <w:rPr>
          <w:rFonts w:ascii="宋体" w:eastAsia="宋体" w:hAnsi="宋体" w:cs="宋体" w:hint="eastAsia"/>
          <w:color w:val="000000"/>
          <w:kern w:val="0"/>
          <w:sz w:val="24"/>
          <w:szCs w:val="21"/>
        </w:rPr>
        <w:t>特别提醒：考评结果预计在2月底公布，参加考评人员是否报名参加2015年度二级建造师相应科目的考试由考生慎重考虑、自主决定，避免出现考评未通过、考试又未报名的情况！</w:t>
      </w:r>
    </w:p>
    <w:p w:rsidR="00680A77" w:rsidRPr="00957CFF" w:rsidRDefault="00680A77"/>
    <w:sectPr w:rsidR="00680A77" w:rsidRPr="00957C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D7" w:rsidRDefault="00D45FD7" w:rsidP="00957CFF">
      <w:r>
        <w:separator/>
      </w:r>
    </w:p>
  </w:endnote>
  <w:endnote w:type="continuationSeparator" w:id="0">
    <w:p w:rsidR="00D45FD7" w:rsidRDefault="00D45FD7" w:rsidP="0095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D7" w:rsidRDefault="00D45FD7" w:rsidP="00957CFF">
      <w:r>
        <w:separator/>
      </w:r>
    </w:p>
  </w:footnote>
  <w:footnote w:type="continuationSeparator" w:id="0">
    <w:p w:rsidR="00D45FD7" w:rsidRDefault="00D45FD7" w:rsidP="0095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A5"/>
    <w:rsid w:val="005F36A5"/>
    <w:rsid w:val="00680A77"/>
    <w:rsid w:val="00957CFF"/>
    <w:rsid w:val="00D4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CFF"/>
    <w:rPr>
      <w:sz w:val="18"/>
      <w:szCs w:val="18"/>
    </w:rPr>
  </w:style>
  <w:style w:type="paragraph" w:styleId="a4">
    <w:name w:val="footer"/>
    <w:basedOn w:val="a"/>
    <w:link w:val="Char0"/>
    <w:uiPriority w:val="99"/>
    <w:unhideWhenUsed/>
    <w:rsid w:val="00957CFF"/>
    <w:pPr>
      <w:tabs>
        <w:tab w:val="center" w:pos="4153"/>
        <w:tab w:val="right" w:pos="8306"/>
      </w:tabs>
      <w:snapToGrid w:val="0"/>
      <w:jc w:val="left"/>
    </w:pPr>
    <w:rPr>
      <w:sz w:val="18"/>
      <w:szCs w:val="18"/>
    </w:rPr>
  </w:style>
  <w:style w:type="character" w:customStyle="1" w:styleId="Char0">
    <w:name w:val="页脚 Char"/>
    <w:basedOn w:val="a0"/>
    <w:link w:val="a4"/>
    <w:uiPriority w:val="99"/>
    <w:rsid w:val="00957CFF"/>
    <w:rPr>
      <w:sz w:val="18"/>
      <w:szCs w:val="18"/>
    </w:rPr>
  </w:style>
  <w:style w:type="paragraph" w:styleId="a5">
    <w:name w:val="Normal (Web)"/>
    <w:basedOn w:val="a"/>
    <w:uiPriority w:val="99"/>
    <w:semiHidden/>
    <w:unhideWhenUsed/>
    <w:rsid w:val="00957C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7C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CFF"/>
    <w:rPr>
      <w:sz w:val="18"/>
      <w:szCs w:val="18"/>
    </w:rPr>
  </w:style>
  <w:style w:type="paragraph" w:styleId="a4">
    <w:name w:val="footer"/>
    <w:basedOn w:val="a"/>
    <w:link w:val="Char0"/>
    <w:uiPriority w:val="99"/>
    <w:unhideWhenUsed/>
    <w:rsid w:val="00957CFF"/>
    <w:pPr>
      <w:tabs>
        <w:tab w:val="center" w:pos="4153"/>
        <w:tab w:val="right" w:pos="8306"/>
      </w:tabs>
      <w:snapToGrid w:val="0"/>
      <w:jc w:val="left"/>
    </w:pPr>
    <w:rPr>
      <w:sz w:val="18"/>
      <w:szCs w:val="18"/>
    </w:rPr>
  </w:style>
  <w:style w:type="character" w:customStyle="1" w:styleId="Char0">
    <w:name w:val="页脚 Char"/>
    <w:basedOn w:val="a0"/>
    <w:link w:val="a4"/>
    <w:uiPriority w:val="99"/>
    <w:rsid w:val="00957CFF"/>
    <w:rPr>
      <w:sz w:val="18"/>
      <w:szCs w:val="18"/>
    </w:rPr>
  </w:style>
  <w:style w:type="paragraph" w:styleId="a5">
    <w:name w:val="Normal (Web)"/>
    <w:basedOn w:val="a"/>
    <w:uiPriority w:val="99"/>
    <w:semiHidden/>
    <w:unhideWhenUsed/>
    <w:rsid w:val="00957C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7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7328">
      <w:bodyDiv w:val="1"/>
      <w:marLeft w:val="0"/>
      <w:marRight w:val="0"/>
      <w:marTop w:val="0"/>
      <w:marBottom w:val="0"/>
      <w:divBdr>
        <w:top w:val="none" w:sz="0" w:space="0" w:color="auto"/>
        <w:left w:val="none" w:sz="0" w:space="0" w:color="auto"/>
        <w:bottom w:val="none" w:sz="0" w:space="0" w:color="auto"/>
        <w:right w:val="none" w:sz="0" w:space="0" w:color="auto"/>
      </w:divBdr>
      <w:divsChild>
        <w:div w:id="1172991532">
          <w:marLeft w:val="0"/>
          <w:marRight w:val="0"/>
          <w:marTop w:val="0"/>
          <w:marBottom w:val="0"/>
          <w:divBdr>
            <w:top w:val="none" w:sz="0" w:space="0" w:color="auto"/>
            <w:left w:val="none" w:sz="0" w:space="0" w:color="auto"/>
            <w:bottom w:val="none" w:sz="0" w:space="0" w:color="auto"/>
            <w:right w:val="none" w:sz="0" w:space="0" w:color="auto"/>
          </w:divBdr>
          <w:divsChild>
            <w:div w:id="1245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1744</Characters>
  <Application>Microsoft Office Word</Application>
  <DocSecurity>0</DocSecurity>
  <Lines>14</Lines>
  <Paragraphs>4</Paragraphs>
  <ScaleCrop>false</ScaleCrop>
  <Company>Lenovo</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2</cp:revision>
  <dcterms:created xsi:type="dcterms:W3CDTF">2014-12-18T08:31:00Z</dcterms:created>
  <dcterms:modified xsi:type="dcterms:W3CDTF">2014-12-18T08:31:00Z</dcterms:modified>
</cp:coreProperties>
</file>